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C20" w:rsidRDefault="00BB0C20" w:rsidP="00BB0C20">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B0C20" w:rsidTr="00FF04BC">
        <w:trPr>
          <w:jc w:val="center"/>
        </w:trPr>
        <w:tc>
          <w:tcPr>
            <w:tcW w:w="743" w:type="dxa"/>
          </w:tcPr>
          <w:p w:rsidR="00BB0C20" w:rsidRPr="00DD05A8" w:rsidRDefault="00BB0C20" w:rsidP="00FF04BC">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BB0C20" w:rsidRPr="00DD05A8" w:rsidRDefault="00BB0C20" w:rsidP="00FF04B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1751030614"/>
                <w:text w:multiLine="1"/>
              </w:sdtPr>
              <w:sdtEndPr/>
              <w:sdtContent>
                <w:r>
                  <w:rPr>
                    <w:rFonts w:ascii="Arial" w:hAnsi="Arial"/>
                    <w:b/>
                    <w:bCs/>
                    <w:sz w:val="26"/>
                    <w:szCs w:val="26"/>
                    <w:rtl/>
                  </w:rPr>
                  <w:t>ויצמן</w:t>
                </w:r>
              </w:sdtContent>
            </w:sdt>
            <w:r>
              <w:rPr>
                <w:rFonts w:ascii="Arial" w:hAnsi="Arial" w:hint="cs"/>
                <w:b/>
                <w:bCs/>
                <w:sz w:val="26"/>
                <w:szCs w:val="26"/>
                <w:rtl/>
              </w:rPr>
              <w:t>, אב"ד</w:t>
            </w:r>
          </w:p>
          <w:p w:rsidR="00BB0C20" w:rsidRPr="00DD05A8" w:rsidRDefault="00BB0C20" w:rsidP="00FF04BC">
            <w:pPr>
              <w:suppressLineNumbers/>
              <w:rPr>
                <w:rFonts w:ascii="Arial" w:hAnsi="Arial"/>
                <w:b/>
                <w:bCs/>
                <w:sz w:val="26"/>
                <w:szCs w:val="26"/>
                <w:rtl/>
              </w:rPr>
            </w:pPr>
            <w:r>
              <w:rPr>
                <w:rFonts w:ascii="Arial" w:hAnsi="Arial" w:hint="cs"/>
                <w:b/>
                <w:bCs/>
                <w:sz w:val="26"/>
                <w:szCs w:val="26"/>
                <w:rtl/>
              </w:rPr>
              <w:t>כ</w:t>
            </w:r>
            <w:r w:rsidRPr="00DD05A8">
              <w:rPr>
                <w:rFonts w:ascii="Arial" w:hAnsi="Arial" w:hint="cs"/>
                <w:b/>
                <w:bCs/>
                <w:sz w:val="26"/>
                <w:szCs w:val="26"/>
                <w:rtl/>
              </w:rPr>
              <w:t>בוד ה</w:t>
            </w:r>
            <w:sdt>
              <w:sdtPr>
                <w:rPr>
                  <w:sz w:val="26"/>
                  <w:szCs w:val="26"/>
                  <w:rtl/>
                </w:rPr>
                <w:alias w:val="1574"/>
                <w:tag w:val="1574"/>
                <w:id w:val="-146289445"/>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 xml:space="preserve">י. </w:t>
            </w:r>
            <w:sdt>
              <w:sdtPr>
                <w:rPr>
                  <w:sz w:val="26"/>
                  <w:szCs w:val="26"/>
                  <w:rtl/>
                </w:rPr>
                <w:alias w:val="1573"/>
                <w:tag w:val="1573"/>
                <w:id w:val="1227191261"/>
                <w:text w:multiLine="1"/>
              </w:sdtPr>
              <w:sdtEndPr/>
              <w:sdtContent>
                <w:r>
                  <w:rPr>
                    <w:rFonts w:ascii="Arial" w:hAnsi="Arial"/>
                    <w:b/>
                    <w:bCs/>
                    <w:sz w:val="26"/>
                    <w:szCs w:val="26"/>
                    <w:rtl/>
                  </w:rPr>
                  <w:t>מושקוביץ</w:t>
                </w:r>
              </w:sdtContent>
            </w:sdt>
          </w:p>
          <w:p w:rsidR="00BB0C20" w:rsidRPr="00DD05A8" w:rsidRDefault="00BB0C20" w:rsidP="00FF04BC">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783489072"/>
                <w:text w:multiLine="1"/>
              </w:sdtPr>
              <w:sdtEndPr/>
              <w:sdtContent>
                <w:r>
                  <w:rPr>
                    <w:rFonts w:ascii="Arial" w:hAnsi="Arial"/>
                    <w:b/>
                    <w:bCs/>
                    <w:sz w:val="26"/>
                    <w:szCs w:val="26"/>
                    <w:rtl/>
                  </w:rPr>
                  <w:t>שופטת</w:t>
                </w:r>
              </w:sdtContent>
            </w:sdt>
            <w:r>
              <w:rPr>
                <w:rFonts w:ascii="Arial" w:hAnsi="Arial" w:hint="cs"/>
                <w:b/>
                <w:bCs/>
                <w:sz w:val="26"/>
                <w:szCs w:val="26"/>
                <w:rtl/>
              </w:rPr>
              <w:t xml:space="preserve"> צ.</w:t>
            </w:r>
            <w:r w:rsidRPr="00DD05A8">
              <w:rPr>
                <w:rFonts w:ascii="Arial" w:hAnsi="Arial" w:hint="cs"/>
                <w:b/>
                <w:bCs/>
                <w:sz w:val="26"/>
                <w:szCs w:val="26"/>
                <w:rtl/>
              </w:rPr>
              <w:t xml:space="preserve"> </w:t>
            </w:r>
            <w:sdt>
              <w:sdtPr>
                <w:rPr>
                  <w:sz w:val="26"/>
                  <w:szCs w:val="26"/>
                  <w:rtl/>
                </w:rPr>
                <w:alias w:val="1573"/>
                <w:tag w:val="1573"/>
                <w:id w:val="133379039"/>
                <w:text w:multiLine="1"/>
              </w:sdtPr>
              <w:sdtEndPr/>
              <w:sdtContent>
                <w:r>
                  <w:rPr>
                    <w:rFonts w:ascii="Arial" w:hAnsi="Arial"/>
                    <w:b/>
                    <w:bCs/>
                    <w:sz w:val="26"/>
                    <w:szCs w:val="26"/>
                    <w:rtl/>
                  </w:rPr>
                  <w:t>גרדשטיין פפקין</w:t>
                </w:r>
              </w:sdtContent>
            </w:sdt>
          </w:p>
          <w:p w:rsidR="00BB0C20" w:rsidRPr="00DD05A8" w:rsidRDefault="00BB0C20" w:rsidP="00FF04BC">
            <w:pPr>
              <w:suppressLineNumbers/>
              <w:rPr>
                <w:rFonts w:ascii="Arial" w:hAnsi="Arial" w:cs="FrankRuehl"/>
                <w:sz w:val="26"/>
                <w:szCs w:val="26"/>
                <w:highlight w:val="yellow"/>
              </w:rPr>
            </w:pPr>
          </w:p>
        </w:tc>
      </w:tr>
      <w:tr w:rsidR="00BB0C20" w:rsidTr="00FF04BC">
        <w:trPr>
          <w:jc w:val="center"/>
        </w:trPr>
        <w:tc>
          <w:tcPr>
            <w:tcW w:w="3249" w:type="dxa"/>
            <w:gridSpan w:val="2"/>
          </w:tcPr>
          <w:p w:rsidR="00BB0C20" w:rsidRPr="001340D8" w:rsidRDefault="00BB0C20" w:rsidP="00FF04BC">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BB0C20" w:rsidRPr="001340D8" w:rsidRDefault="00BB0C20" w:rsidP="00FF04BC">
                <w:pPr>
                  <w:suppressLineNumbers/>
                  <w:rPr>
                    <w:rFonts w:ascii="Narkisim" w:hAnsi="Narkisim" w:cs="Narkisim"/>
                    <w:noProof w:val="0"/>
                    <w:sz w:val="28"/>
                    <w:szCs w:val="28"/>
                    <w:rtl/>
                  </w:rPr>
                </w:pPr>
                <w:r w:rsidRPr="001340D8">
                  <w:rPr>
                    <w:rFonts w:ascii="Narkisim" w:hAnsi="Narkisim" w:cs="Narkisim"/>
                    <w:noProof w:val="0"/>
                    <w:sz w:val="28"/>
                    <w:szCs w:val="28"/>
                    <w:rtl/>
                  </w:rPr>
                  <w:t>מערער</w:t>
                </w:r>
              </w:p>
            </w:sdtContent>
          </w:sdt>
        </w:tc>
        <w:tc>
          <w:tcPr>
            <w:tcW w:w="5571" w:type="dxa"/>
          </w:tcPr>
          <w:p w:rsidR="00BB0C20" w:rsidRPr="001340D8" w:rsidRDefault="00BB0C20" w:rsidP="00FF04BC">
            <w:pPr>
              <w:suppressLineNumbers/>
              <w:rPr>
                <w:rFonts w:ascii="Narkisim" w:hAnsi="Narkisim" w:cs="Narkisim"/>
                <w:noProof w:val="0"/>
                <w:sz w:val="28"/>
                <w:szCs w:val="28"/>
                <w:rtl/>
              </w:rPr>
            </w:pPr>
          </w:p>
          <w:p w:rsidR="00BB0C20" w:rsidRPr="001340D8" w:rsidRDefault="00BB0C20" w:rsidP="00FF04BC">
            <w:pPr>
              <w:pStyle w:val="a4"/>
              <w:numPr>
                <w:ilvl w:val="0"/>
                <w:numId w:val="2"/>
              </w:numPr>
              <w:suppressLineNumbers/>
              <w:rPr>
                <w:rFonts w:ascii="Narkisim" w:hAnsi="Narkisim" w:cs="Narkisim"/>
                <w:noProof w:val="0"/>
                <w:sz w:val="28"/>
                <w:szCs w:val="28"/>
              </w:rPr>
            </w:pPr>
            <w:r w:rsidRPr="001340D8">
              <w:rPr>
                <w:rFonts w:ascii="Narkisim" w:hAnsi="Narkisim" w:cs="Narkisim"/>
                <w:noProof w:val="0"/>
                <w:sz w:val="28"/>
                <w:szCs w:val="28"/>
                <w:rtl/>
              </w:rPr>
              <w:t xml:space="preserve"> מ.  א.  ק.  </w:t>
            </w:r>
          </w:p>
        </w:tc>
      </w:tr>
      <w:tr w:rsidR="00BB0C20" w:rsidTr="00FF04BC">
        <w:trPr>
          <w:jc w:val="center"/>
        </w:trPr>
        <w:tc>
          <w:tcPr>
            <w:tcW w:w="8820" w:type="dxa"/>
            <w:gridSpan w:val="3"/>
          </w:tcPr>
          <w:p w:rsidR="00BB0C20" w:rsidRPr="001340D8" w:rsidRDefault="00BB0C20" w:rsidP="00FF04BC">
            <w:pPr>
              <w:suppressLineNumbers/>
              <w:rPr>
                <w:rFonts w:ascii="Narkisim" w:hAnsi="Narkisim" w:cs="Narkisim"/>
                <w:noProof w:val="0"/>
                <w:sz w:val="28"/>
                <w:szCs w:val="28"/>
                <w:rtl/>
              </w:rPr>
            </w:pPr>
          </w:p>
          <w:p w:rsidR="00BB0C20" w:rsidRPr="001340D8" w:rsidRDefault="00BB0C20" w:rsidP="00FF04BC">
            <w:pPr>
              <w:suppressLineNumbers/>
              <w:jc w:val="center"/>
              <w:rPr>
                <w:rFonts w:ascii="Narkisim" w:hAnsi="Narkisim" w:cs="Narkisim"/>
                <w:noProof w:val="0"/>
                <w:sz w:val="28"/>
                <w:szCs w:val="28"/>
                <w:rtl/>
              </w:rPr>
            </w:pPr>
            <w:r w:rsidRPr="001340D8">
              <w:rPr>
                <w:rFonts w:ascii="Narkisim" w:hAnsi="Narkisim" w:cs="Narkisim"/>
                <w:noProof w:val="0"/>
                <w:sz w:val="28"/>
                <w:szCs w:val="28"/>
                <w:rtl/>
              </w:rPr>
              <w:t>נגד</w:t>
            </w:r>
          </w:p>
          <w:p w:rsidR="00BB0C20" w:rsidRPr="001340D8" w:rsidRDefault="00BB0C20" w:rsidP="00FF04BC">
            <w:pPr>
              <w:suppressLineNumbers/>
              <w:rPr>
                <w:rFonts w:ascii="Narkisim" w:hAnsi="Narkisim" w:cs="Narkisim"/>
                <w:noProof w:val="0"/>
                <w:sz w:val="28"/>
                <w:szCs w:val="28"/>
              </w:rPr>
            </w:pPr>
          </w:p>
        </w:tc>
      </w:tr>
      <w:tr w:rsidR="00BB0C20" w:rsidTr="00FF04BC">
        <w:trPr>
          <w:jc w:val="center"/>
        </w:trPr>
        <w:tc>
          <w:tcPr>
            <w:tcW w:w="3249" w:type="dxa"/>
            <w:gridSpan w:val="2"/>
          </w:tcPr>
          <w:p w:rsidR="00BB0C20" w:rsidRPr="001340D8" w:rsidRDefault="00C12BFD" w:rsidP="00FF04BC">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BB0C20" w:rsidRPr="001340D8">
                  <w:rPr>
                    <w:rFonts w:ascii="Narkisim" w:hAnsi="Narkisim" w:cs="Narkisim"/>
                    <w:noProof w:val="0"/>
                    <w:sz w:val="28"/>
                    <w:szCs w:val="28"/>
                    <w:rtl/>
                  </w:rPr>
                  <w:t>משיבים</w:t>
                </w:r>
              </w:sdtContent>
            </w:sdt>
          </w:p>
        </w:tc>
        <w:tc>
          <w:tcPr>
            <w:tcW w:w="5571" w:type="dxa"/>
          </w:tcPr>
          <w:p w:rsidR="00BB0C20" w:rsidRPr="001340D8" w:rsidRDefault="00C12BFD" w:rsidP="00FF04BC">
            <w:pPr>
              <w:suppressLineNumbers/>
              <w:rPr>
                <w:rFonts w:ascii="Narkisim" w:hAnsi="Narkisim" w:cs="Narkisim"/>
                <w:sz w:val="28"/>
                <w:szCs w:val="28"/>
                <w:rtl/>
              </w:rPr>
            </w:pPr>
            <w:sdt>
              <w:sdtPr>
                <w:rPr>
                  <w:rFonts w:ascii="Narkisim" w:hAnsi="Narkisim" w:cs="Narkisim"/>
                  <w:sz w:val="28"/>
                  <w:szCs w:val="28"/>
                  <w:rtl/>
                </w:rPr>
                <w:alias w:val="1571"/>
                <w:tag w:val="1571"/>
                <w:id w:val="1028836282"/>
                <w:text w:multiLine="1"/>
              </w:sdtPr>
              <w:sdtEndPr/>
              <w:sdtContent>
                <w:r w:rsidR="00BB0C20" w:rsidRPr="001340D8">
                  <w:rPr>
                    <w:rFonts w:ascii="Narkisim" w:hAnsi="Narkisim" w:cs="Narkisim"/>
                    <w:noProof w:val="0"/>
                    <w:sz w:val="28"/>
                    <w:szCs w:val="28"/>
                    <w:rtl/>
                  </w:rPr>
                  <w:t>1</w:t>
                </w:r>
              </w:sdtContent>
            </w:sdt>
            <w:r w:rsidR="00BB0C20" w:rsidRPr="001340D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96F01C926ABD474EA385A7A6DCF1DFE2"/>
                </w:placeholder>
                <w:text w:multiLine="1"/>
              </w:sdtPr>
              <w:sdtEndPr/>
              <w:sdtContent>
                <w:r w:rsidR="00BB0C20" w:rsidRPr="001340D8">
                  <w:rPr>
                    <w:rFonts w:ascii="Narkisim" w:hAnsi="Narkisim" w:cs="Narkisim"/>
                    <w:noProof w:val="0"/>
                    <w:sz w:val="28"/>
                    <w:szCs w:val="28"/>
                    <w:rtl/>
                  </w:rPr>
                  <w:t xml:space="preserve">ר.  א. ס. </w:t>
                </w:r>
              </w:sdtContent>
            </w:sdt>
            <w:r w:rsidR="00BB0C20" w:rsidRPr="001340D8">
              <w:rPr>
                <w:rFonts w:ascii="Narkisim" w:hAnsi="Narkisim" w:cs="Narkisim"/>
                <w:sz w:val="28"/>
                <w:szCs w:val="28"/>
                <w:rtl/>
              </w:rPr>
              <w:t xml:space="preserve"> </w:t>
            </w:r>
          </w:p>
          <w:p w:rsidR="00BB0C20" w:rsidRPr="001340D8" w:rsidRDefault="00C12BFD" w:rsidP="00FF04BC">
            <w:pPr>
              <w:suppressLineNumbers/>
              <w:rPr>
                <w:rFonts w:ascii="Narkisim" w:hAnsi="Narkisim" w:cs="Narkisim"/>
                <w:sz w:val="28"/>
                <w:szCs w:val="28"/>
                <w:rtl/>
              </w:rPr>
            </w:pPr>
            <w:sdt>
              <w:sdtPr>
                <w:rPr>
                  <w:rFonts w:ascii="Narkisim" w:hAnsi="Narkisim" w:cs="Narkisim"/>
                  <w:sz w:val="28"/>
                  <w:szCs w:val="28"/>
                  <w:rtl/>
                </w:rPr>
                <w:alias w:val="1571"/>
                <w:tag w:val="1571"/>
                <w:id w:val="-518009662"/>
                <w:text w:multiLine="1"/>
              </w:sdtPr>
              <w:sdtEndPr/>
              <w:sdtContent>
                <w:r w:rsidR="00BB0C20" w:rsidRPr="001340D8">
                  <w:rPr>
                    <w:rFonts w:ascii="Narkisim" w:hAnsi="Narkisim" w:cs="Narkisim"/>
                    <w:noProof w:val="0"/>
                    <w:sz w:val="28"/>
                    <w:szCs w:val="28"/>
                    <w:rtl/>
                  </w:rPr>
                  <w:t>2</w:t>
                </w:r>
              </w:sdtContent>
            </w:sdt>
            <w:r w:rsidR="00BB0C20" w:rsidRPr="001340D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608742519"/>
                <w:placeholder>
                  <w:docPart w:val="96F01C926ABD474EA385A7A6DCF1DFE2"/>
                </w:placeholder>
                <w:text w:multiLine="1"/>
              </w:sdtPr>
              <w:sdtEndPr/>
              <w:sdtContent>
                <w:r w:rsidR="00BB0C20" w:rsidRPr="001340D8">
                  <w:rPr>
                    <w:rFonts w:ascii="Narkisim" w:hAnsi="Narkisim" w:cs="Narkisim"/>
                    <w:noProof w:val="0"/>
                    <w:sz w:val="28"/>
                    <w:szCs w:val="28"/>
                    <w:rtl/>
                  </w:rPr>
                  <w:t xml:space="preserve">ג.  ק.  </w:t>
                </w:r>
              </w:sdtContent>
            </w:sdt>
            <w:r w:rsidR="00BB0C20" w:rsidRPr="001340D8">
              <w:rPr>
                <w:rFonts w:ascii="Narkisim" w:hAnsi="Narkisim" w:cs="Narkisim"/>
                <w:sz w:val="28"/>
                <w:szCs w:val="28"/>
                <w:rtl/>
              </w:rPr>
              <w:t xml:space="preserve"> </w:t>
            </w:r>
          </w:p>
          <w:p w:rsidR="00BB0C20" w:rsidRPr="001340D8" w:rsidRDefault="00C12BFD" w:rsidP="00FF04BC">
            <w:pPr>
              <w:suppressLineNumbers/>
              <w:rPr>
                <w:rFonts w:ascii="Narkisim" w:hAnsi="Narkisim" w:cs="Narkisim"/>
                <w:sz w:val="28"/>
                <w:szCs w:val="28"/>
                <w:rtl/>
              </w:rPr>
            </w:pPr>
            <w:sdt>
              <w:sdtPr>
                <w:rPr>
                  <w:rFonts w:ascii="Narkisim" w:hAnsi="Narkisim" w:cs="Narkisim"/>
                  <w:sz w:val="28"/>
                  <w:szCs w:val="28"/>
                  <w:rtl/>
                </w:rPr>
                <w:alias w:val="1571"/>
                <w:tag w:val="1571"/>
                <w:id w:val="1810900771"/>
                <w:text w:multiLine="1"/>
              </w:sdtPr>
              <w:sdtEndPr/>
              <w:sdtContent>
                <w:r w:rsidR="00BB0C20" w:rsidRPr="001340D8">
                  <w:rPr>
                    <w:rFonts w:ascii="Narkisim" w:hAnsi="Narkisim" w:cs="Narkisim"/>
                    <w:noProof w:val="0"/>
                    <w:sz w:val="28"/>
                    <w:szCs w:val="28"/>
                    <w:rtl/>
                  </w:rPr>
                  <w:t>3</w:t>
                </w:r>
              </w:sdtContent>
            </w:sdt>
            <w:r w:rsidR="00BB0C20" w:rsidRPr="001340D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676541846"/>
                <w:placeholder>
                  <w:docPart w:val="96F01C926ABD474EA385A7A6DCF1DFE2"/>
                </w:placeholder>
                <w:text w:multiLine="1"/>
              </w:sdtPr>
              <w:sdtEndPr/>
              <w:sdtContent>
                <w:r w:rsidR="00BB0C20" w:rsidRPr="001340D8">
                  <w:rPr>
                    <w:rFonts w:ascii="Narkisim" w:hAnsi="Narkisim" w:cs="Narkisim"/>
                    <w:noProof w:val="0"/>
                    <w:sz w:val="28"/>
                    <w:szCs w:val="28"/>
                    <w:rtl/>
                  </w:rPr>
                  <w:t xml:space="preserve">א.  ק. </w:t>
                </w:r>
              </w:sdtContent>
            </w:sdt>
            <w:r w:rsidR="00BB0C20" w:rsidRPr="001340D8">
              <w:rPr>
                <w:rFonts w:ascii="Narkisim" w:hAnsi="Narkisim" w:cs="Narkisim"/>
                <w:sz w:val="28"/>
                <w:szCs w:val="28"/>
                <w:rtl/>
              </w:rPr>
              <w:t xml:space="preserve"> </w:t>
            </w:r>
          </w:p>
          <w:p w:rsidR="00BB0C20" w:rsidRPr="001340D8" w:rsidRDefault="00C12BFD" w:rsidP="00FF04BC">
            <w:pPr>
              <w:suppressLineNumbers/>
              <w:rPr>
                <w:rFonts w:ascii="Narkisim" w:hAnsi="Narkisim" w:cs="Narkisim"/>
                <w:sz w:val="28"/>
                <w:szCs w:val="28"/>
                <w:rtl/>
              </w:rPr>
            </w:pPr>
            <w:sdt>
              <w:sdtPr>
                <w:rPr>
                  <w:rFonts w:ascii="Narkisim" w:hAnsi="Narkisim" w:cs="Narkisim"/>
                  <w:sz w:val="28"/>
                  <w:szCs w:val="28"/>
                  <w:rtl/>
                </w:rPr>
                <w:alias w:val="1571"/>
                <w:tag w:val="1571"/>
                <w:id w:val="1085116740"/>
                <w:text w:multiLine="1"/>
              </w:sdtPr>
              <w:sdtEndPr/>
              <w:sdtContent>
                <w:r w:rsidR="00BB0C20" w:rsidRPr="001340D8">
                  <w:rPr>
                    <w:rFonts w:ascii="Narkisim" w:hAnsi="Narkisim" w:cs="Narkisim"/>
                    <w:noProof w:val="0"/>
                    <w:sz w:val="28"/>
                    <w:szCs w:val="28"/>
                    <w:rtl/>
                  </w:rPr>
                  <w:t>4</w:t>
                </w:r>
              </w:sdtContent>
            </w:sdt>
            <w:r w:rsidR="00BB0C20" w:rsidRPr="001340D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053893763"/>
                <w:placeholder>
                  <w:docPart w:val="96F01C926ABD474EA385A7A6DCF1DFE2"/>
                </w:placeholder>
                <w:text w:multiLine="1"/>
              </w:sdtPr>
              <w:sdtEndPr/>
              <w:sdtContent>
                <w:r w:rsidR="00BB0C20" w:rsidRPr="001340D8">
                  <w:rPr>
                    <w:rFonts w:ascii="Narkisim" w:hAnsi="Narkisim" w:cs="Narkisim"/>
                    <w:noProof w:val="0"/>
                    <w:sz w:val="28"/>
                    <w:szCs w:val="28"/>
                    <w:rtl/>
                  </w:rPr>
                  <w:t xml:space="preserve">ו.  ס. ס. </w:t>
                </w:r>
              </w:sdtContent>
            </w:sdt>
          </w:p>
          <w:p w:rsidR="00BB0C20" w:rsidRPr="001340D8" w:rsidRDefault="00C12BFD" w:rsidP="00FF04BC">
            <w:pPr>
              <w:suppressLineNumbers/>
              <w:rPr>
                <w:rFonts w:ascii="Narkisim" w:hAnsi="Narkisim" w:cs="Narkisim"/>
                <w:sz w:val="28"/>
                <w:szCs w:val="28"/>
                <w:rtl/>
              </w:rPr>
            </w:pPr>
            <w:sdt>
              <w:sdtPr>
                <w:rPr>
                  <w:rFonts w:ascii="Narkisim" w:hAnsi="Narkisim" w:cs="Narkisim"/>
                  <w:sz w:val="28"/>
                  <w:szCs w:val="28"/>
                  <w:rtl/>
                </w:rPr>
                <w:alias w:val="1571"/>
                <w:tag w:val="1571"/>
                <w:id w:val="-655995513"/>
                <w:text w:multiLine="1"/>
              </w:sdtPr>
              <w:sdtEndPr/>
              <w:sdtContent>
                <w:r w:rsidR="00BB0C20" w:rsidRPr="001340D8">
                  <w:rPr>
                    <w:rFonts w:ascii="Narkisim" w:hAnsi="Narkisim" w:cs="Narkisim"/>
                    <w:noProof w:val="0"/>
                    <w:sz w:val="28"/>
                    <w:szCs w:val="28"/>
                    <w:rtl/>
                  </w:rPr>
                  <w:t>5</w:t>
                </w:r>
              </w:sdtContent>
            </w:sdt>
            <w:r w:rsidR="00BB0C20" w:rsidRPr="001340D8">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58474826"/>
                <w:placeholder>
                  <w:docPart w:val="96F01C926ABD474EA385A7A6DCF1DFE2"/>
                </w:placeholder>
                <w:text w:multiLine="1"/>
              </w:sdtPr>
              <w:sdtEndPr/>
              <w:sdtContent>
                <w:r w:rsidR="00BB0C20" w:rsidRPr="001340D8">
                  <w:rPr>
                    <w:rFonts w:ascii="Narkisim" w:hAnsi="Narkisim" w:cs="Narkisim"/>
                    <w:noProof w:val="0"/>
                    <w:sz w:val="28"/>
                    <w:szCs w:val="28"/>
                    <w:rtl/>
                  </w:rPr>
                  <w:t>ד.  א. ס</w:t>
                </w:r>
              </w:sdtContent>
            </w:sdt>
          </w:p>
        </w:tc>
      </w:tr>
      <w:tr w:rsidR="00BB0C20" w:rsidRPr="00DE1E7D" w:rsidTr="00FF04BC">
        <w:trPr>
          <w:jc w:val="center"/>
        </w:trPr>
        <w:tc>
          <w:tcPr>
            <w:tcW w:w="8820" w:type="dxa"/>
            <w:gridSpan w:val="3"/>
          </w:tcPr>
          <w:p w:rsidR="00BB0C20" w:rsidRDefault="00BB0C20" w:rsidP="00FF04BC">
            <w:pPr>
              <w:bidi w:val="0"/>
              <w:jc w:val="center"/>
              <w:rPr>
                <w:rFonts w:ascii="Arial" w:hAnsi="Arial"/>
                <w:b/>
                <w:bCs/>
                <w:noProof w:val="0"/>
                <w:sz w:val="28"/>
                <w:szCs w:val="28"/>
                <w:u w:val="single"/>
                <w:rtl/>
              </w:rPr>
            </w:pPr>
          </w:p>
          <w:p w:rsidR="00BB0C20" w:rsidRDefault="00BB0C20" w:rsidP="00FF04BC">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BB0C20" w:rsidRPr="00D44968" w:rsidRDefault="00BB0C20" w:rsidP="00FF04BC">
            <w:pPr>
              <w:bidi w:val="0"/>
              <w:jc w:val="center"/>
              <w:rPr>
                <w:rFonts w:ascii="Arial" w:hAnsi="Arial"/>
                <w:b/>
                <w:bCs/>
                <w:noProof w:val="0"/>
                <w:sz w:val="28"/>
                <w:szCs w:val="28"/>
                <w:u w:val="single"/>
              </w:rPr>
            </w:pPr>
          </w:p>
        </w:tc>
      </w:tr>
    </w:tbl>
    <w:p w:rsidR="00BB0C20" w:rsidRDefault="00BB0C20" w:rsidP="00BB0C20">
      <w:pPr>
        <w:spacing w:line="360" w:lineRule="auto"/>
        <w:jc w:val="both"/>
        <w:rPr>
          <w:rFonts w:ascii="Narkisim" w:hAnsi="Narkisim" w:cs="Narkisim"/>
          <w:sz w:val="28"/>
          <w:szCs w:val="28"/>
        </w:rPr>
      </w:pPr>
      <w:bookmarkStart w:id="1" w:name="NGCSBookmark"/>
      <w:bookmarkEnd w:id="1"/>
      <w:r>
        <w:rPr>
          <w:rFonts w:ascii="Narkisim" w:hAnsi="Narkisim" w:cs="Narkisim"/>
          <w:sz w:val="28"/>
          <w:szCs w:val="28"/>
          <w:rtl/>
        </w:rPr>
        <w:t xml:space="preserve">ערעור על החלטת בית משפט לענייני משפחה בפתח תקווה מיום 21.2.2023 בתמ"ש 8385-09-20 (כב' השופטת </w:t>
      </w:r>
      <w:r>
        <w:rPr>
          <w:rFonts w:ascii="Miriam" w:hAnsi="Miriam" w:cs="Miriam"/>
          <w:rtl/>
        </w:rPr>
        <w:t>ה. מלר-שלו</w:t>
      </w:r>
      <w:r>
        <w:rPr>
          <w:rFonts w:ascii="Narkisim" w:hAnsi="Narkisim" w:cs="Narkisim"/>
          <w:sz w:val="28"/>
          <w:szCs w:val="28"/>
          <w:rtl/>
        </w:rPr>
        <w:t xml:space="preserve">), במסגרתה נדחתה בקשתו של המערער למחיקת תביעת המשיבה 1 לפירוק שיתוף בשני נכסי מקרקעין, בנתניה ובחדרה, אותם ירשו הצדדים, וכן נדחתה בקשתו לביטול מכר זכויות המשיבה בנכס בחדרה לצד ג'. </w:t>
      </w:r>
    </w:p>
    <w:p w:rsidR="00BB0C20" w:rsidRDefault="00BB0C20" w:rsidP="00BB0C20">
      <w:pPr>
        <w:suppressLineNumbers/>
        <w:spacing w:line="360" w:lineRule="auto"/>
        <w:jc w:val="both"/>
        <w:rPr>
          <w:rFonts w:ascii="Narkisim" w:hAnsi="Narkisim" w:cs="Narkisim"/>
          <w:noProof w:val="0"/>
          <w:sz w:val="28"/>
          <w:szCs w:val="28"/>
        </w:rPr>
      </w:pPr>
    </w:p>
    <w:p w:rsidR="00BB0C20" w:rsidRDefault="00BB0C20" w:rsidP="00BB0C20">
      <w:pPr>
        <w:spacing w:line="360" w:lineRule="auto"/>
        <w:jc w:val="both"/>
        <w:rPr>
          <w:rFonts w:ascii="Miriam" w:hAnsi="Miriam" w:cs="Miriam"/>
          <w:rtl/>
        </w:rPr>
      </w:pPr>
      <w:r>
        <w:rPr>
          <w:rFonts w:ascii="Miriam" w:hAnsi="Miriam" w:cs="Miriam"/>
          <w:rtl/>
        </w:rPr>
        <w:t xml:space="preserve">הנדרש לנדון </w:t>
      </w:r>
    </w:p>
    <w:p w:rsidR="00BB0C20" w:rsidRDefault="00BB0C20" w:rsidP="00BB0C20">
      <w:pPr>
        <w:spacing w:line="360" w:lineRule="auto"/>
        <w:jc w:val="both"/>
        <w:rPr>
          <w:rFonts w:ascii="Miriam" w:hAnsi="Miriam" w:cs="Miriam"/>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המשיבה 1 (להלן – </w:t>
      </w:r>
      <w:r>
        <w:rPr>
          <w:rFonts w:ascii="Miriam" w:hAnsi="Miriam" w:cs="Miriam"/>
          <w:rtl/>
        </w:rPr>
        <w:t>המשיבה</w:t>
      </w:r>
      <w:r>
        <w:rPr>
          <w:rFonts w:ascii="Narkisim" w:hAnsi="Narkisim" w:cs="Narkisim"/>
          <w:sz w:val="28"/>
          <w:szCs w:val="28"/>
          <w:rtl/>
        </w:rPr>
        <w:t xml:space="preserve">) היא בתו של המנוח ד.א ז"ל אשר הלך לבית עולמו ביום 21.6.03 (להלן - </w:t>
      </w:r>
      <w:r>
        <w:rPr>
          <w:rFonts w:ascii="Miriam" w:hAnsi="Miriam" w:cs="Miriam"/>
          <w:rtl/>
        </w:rPr>
        <w:t>המנוח</w:t>
      </w:r>
      <w:r>
        <w:rPr>
          <w:rFonts w:ascii="Narkisim" w:hAnsi="Narkisim" w:cs="Narkisim"/>
          <w:sz w:val="28"/>
          <w:szCs w:val="28"/>
          <w:rtl/>
        </w:rPr>
        <w:t xml:space="preserve">). לעזבון המנוח הוצא צו קיום צוואה ביום 10.9.03.  </w:t>
      </w:r>
    </w:p>
    <w:p w:rsidR="00BB0C20" w:rsidRDefault="00BB0C20" w:rsidP="00BB0C20">
      <w:pPr>
        <w:pStyle w:val="a4"/>
        <w:spacing w:after="160" w:line="360" w:lineRule="auto"/>
        <w:ind w:left="85"/>
        <w:jc w:val="both"/>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lastRenderedPageBreak/>
        <w:t xml:space="preserve">המשיבים 2-5 הם יורשיו האחרים של המנוח, אשר היו שותפים בנכסים שונים השייכים לו.  </w:t>
      </w:r>
    </w:p>
    <w:p w:rsidR="00BB0C20" w:rsidRPr="001340D8" w:rsidRDefault="00BB0C20" w:rsidP="00BB0C20">
      <w:pPr>
        <w:pStyle w:val="a4"/>
        <w:rPr>
          <w:rFonts w:ascii="Narkisim" w:hAnsi="Narkisim" w:cs="Narkisim"/>
          <w:sz w:val="28"/>
          <w:szCs w:val="28"/>
          <w:rtl/>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המערער הוא נכדו של המנוח (אמו, שנפטרה אף היא, היתה בתו של המנוח ואחותה של המשיבה) ואף הוא </w:t>
      </w:r>
      <w:r>
        <w:rPr>
          <w:rFonts w:ascii="Narkisim" w:hAnsi="Narkisim" w:cs="Narkisim" w:hint="cs"/>
          <w:sz w:val="28"/>
          <w:szCs w:val="28"/>
          <w:rtl/>
        </w:rPr>
        <w:t>נמנה על יורשי עזבונו</w:t>
      </w:r>
      <w:r>
        <w:rPr>
          <w:rFonts w:ascii="Narkisim" w:hAnsi="Narkisim" w:cs="Narkisim"/>
          <w:sz w:val="28"/>
          <w:szCs w:val="28"/>
          <w:rtl/>
        </w:rPr>
        <w:t xml:space="preserve">.  </w:t>
      </w:r>
    </w:p>
    <w:p w:rsidR="00BB0C20" w:rsidRDefault="00BB0C20" w:rsidP="00BB0C20">
      <w:pPr>
        <w:pStyle w:val="a4"/>
        <w:spacing w:after="160" w:line="360" w:lineRule="auto"/>
        <w:ind w:left="85"/>
        <w:jc w:val="both"/>
        <w:rPr>
          <w:rFonts w:ascii="Narkisim" w:hAnsi="Narkisim" w:cs="Narkisim"/>
          <w:sz w:val="28"/>
          <w:szCs w:val="28"/>
          <w:rtl/>
        </w:rPr>
      </w:pPr>
      <w:r>
        <w:rPr>
          <w:rFonts w:ascii="Narkisim" w:hAnsi="Narkisim" w:cs="Narkisim"/>
          <w:sz w:val="28"/>
          <w:szCs w:val="28"/>
          <w:rtl/>
        </w:rPr>
        <w:t xml:space="preserve"> </w:t>
      </w: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המשיבה הגישה תביעה ובה עתרה לפירוק השיתוף בשני נכסים</w:t>
      </w:r>
      <w:r>
        <w:rPr>
          <w:rFonts w:ascii="Narkisim" w:hAnsi="Narkisim" w:cs="Narkisim" w:hint="cs"/>
          <w:sz w:val="28"/>
          <w:szCs w:val="28"/>
          <w:rtl/>
        </w:rPr>
        <w:t xml:space="preserve"> - </w:t>
      </w:r>
      <w:r>
        <w:rPr>
          <w:rFonts w:ascii="Narkisim" w:hAnsi="Narkisim" w:cs="Narkisim"/>
          <w:sz w:val="28"/>
          <w:szCs w:val="28"/>
          <w:rtl/>
        </w:rPr>
        <w:t xml:space="preserve">נכס בנתניה, אותו ביקשה למכור בתנאי השוק הפתוח למרבה במחיר, ונכס בחדרה, בו למשיבה מחצית הזכויות ואילו המחצית הנותרת </w:t>
      </w:r>
      <w:r>
        <w:rPr>
          <w:rFonts w:ascii="Narkisim" w:hAnsi="Narkisim" w:cs="Narkisim" w:hint="cs"/>
          <w:sz w:val="28"/>
          <w:szCs w:val="28"/>
          <w:rtl/>
        </w:rPr>
        <w:t>שייכת ל</w:t>
      </w:r>
      <w:r>
        <w:rPr>
          <w:rFonts w:ascii="Narkisim" w:hAnsi="Narkisim" w:cs="Narkisim"/>
          <w:sz w:val="28"/>
          <w:szCs w:val="28"/>
          <w:rtl/>
        </w:rPr>
        <w:t>מערער ו</w:t>
      </w:r>
      <w:r>
        <w:rPr>
          <w:rFonts w:ascii="Narkisim" w:hAnsi="Narkisim" w:cs="Narkisim" w:hint="cs"/>
          <w:sz w:val="28"/>
          <w:szCs w:val="28"/>
          <w:rtl/>
        </w:rPr>
        <w:t>ל</w:t>
      </w:r>
      <w:r>
        <w:rPr>
          <w:rFonts w:ascii="Narkisim" w:hAnsi="Narkisim" w:cs="Narkisim"/>
          <w:sz w:val="28"/>
          <w:szCs w:val="28"/>
          <w:rtl/>
        </w:rPr>
        <w:t xml:space="preserve">משיבים 2-3 בחלקים שווים. לגבי הנכס בחדרה ביקשה המשיבה לבצע חלוקה בעין וככל שלא ניתן יהיה לעשות כן, למכור, אף אותו, למרבה במחיר.  </w:t>
      </w:r>
    </w:p>
    <w:p w:rsidR="00BB0C20" w:rsidRDefault="00BB0C20" w:rsidP="00BB0C20">
      <w:pPr>
        <w:pStyle w:val="a4"/>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במסגרת הדיון בתביעה לפירוק השיתוף הגיש המערער לבית משפט קמא בקשה למחיקת התביעה על הסף "בכפוף להשבת המגרש בחדרה" וזאת אחר שטען כי המשיבה, פעלה בחוסר תום לב למכירת זכויותיה בנכס בחדרה "מאחורי גבם" של הצדדים ומבלי שניתנה בפועל החלטה לפירוק השיתוף בנכס.   </w:t>
      </w:r>
    </w:p>
    <w:p w:rsidR="00BB0C20" w:rsidRDefault="00BB0C20" w:rsidP="00BB0C20">
      <w:pPr>
        <w:spacing w:line="360" w:lineRule="auto"/>
        <w:jc w:val="both"/>
        <w:rPr>
          <w:rFonts w:ascii="Narkisim" w:hAnsi="Narkisim" w:cs="Narkisim"/>
          <w:b/>
          <w:bCs/>
          <w:sz w:val="28"/>
          <w:szCs w:val="28"/>
          <w:rtl/>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lastRenderedPageBreak/>
        <w:t>המשיבה טענה, כי ניתן צו לפירוק השיתוף ביחס לנכסים כבר ביום 3.2.22 ומשכך היא פעלה כדין</w:t>
      </w:r>
      <w:r>
        <w:rPr>
          <w:rFonts w:ascii="Narkisim" w:hAnsi="Narkisim" w:cs="Narkisim" w:hint="cs"/>
          <w:sz w:val="28"/>
          <w:szCs w:val="28"/>
          <w:rtl/>
        </w:rPr>
        <w:t>,</w:t>
      </w:r>
      <w:r>
        <w:rPr>
          <w:rFonts w:ascii="Narkisim" w:hAnsi="Narkisim" w:cs="Narkisim"/>
          <w:sz w:val="28"/>
          <w:szCs w:val="28"/>
          <w:rtl/>
        </w:rPr>
        <w:t xml:space="preserve"> ו</w:t>
      </w:r>
      <w:r>
        <w:rPr>
          <w:rFonts w:ascii="Narkisim" w:hAnsi="Narkisim" w:cs="Narkisim" w:hint="cs"/>
          <w:sz w:val="28"/>
          <w:szCs w:val="28"/>
          <w:rtl/>
        </w:rPr>
        <w:t xml:space="preserve">מכל מקום, </w:t>
      </w:r>
      <w:r>
        <w:rPr>
          <w:rFonts w:ascii="Narkisim" w:hAnsi="Narkisim" w:cs="Narkisim"/>
          <w:sz w:val="28"/>
          <w:szCs w:val="28"/>
          <w:rtl/>
        </w:rPr>
        <w:t xml:space="preserve">הזכויות בנכס שבחדרה רשומות במושע ואין כל מניעה כי תמכור את זכויותיה שלה לצד ג', ואין בכך כל פגיעה ביתר בעלי הזכויות האחרים ובכללם המערער. </w:t>
      </w:r>
    </w:p>
    <w:p w:rsidR="00BB0C20" w:rsidRDefault="00BB0C20" w:rsidP="00BB0C20">
      <w:pPr>
        <w:pStyle w:val="a4"/>
        <w:rPr>
          <w:rFonts w:ascii="Narkisim" w:hAnsi="Narkisim" w:cs="Narkisim"/>
          <w:sz w:val="28"/>
          <w:szCs w:val="28"/>
        </w:rPr>
      </w:pPr>
    </w:p>
    <w:p w:rsidR="00BB0C20" w:rsidRDefault="00BB0C20" w:rsidP="00BB0C20">
      <w:pPr>
        <w:pStyle w:val="a4"/>
        <w:spacing w:after="160" w:line="360" w:lineRule="auto"/>
        <w:ind w:left="85"/>
        <w:jc w:val="both"/>
        <w:rPr>
          <w:rFonts w:ascii="Miriam" w:hAnsi="Miriam" w:cs="Miriam"/>
          <w:rtl/>
        </w:rPr>
      </w:pPr>
      <w:r>
        <w:rPr>
          <w:rFonts w:ascii="Miriam" w:hAnsi="Miriam" w:cs="Miriam"/>
          <w:rtl/>
        </w:rPr>
        <w:t>פסק דינו של בית המשפט קמא</w:t>
      </w:r>
    </w:p>
    <w:p w:rsidR="00BB0C20" w:rsidRDefault="00BB0C20" w:rsidP="00BB0C20">
      <w:pPr>
        <w:pStyle w:val="a4"/>
        <w:spacing w:after="160" w:line="360" w:lineRule="auto"/>
        <w:ind w:left="85"/>
        <w:jc w:val="both"/>
        <w:rPr>
          <w:rFonts w:ascii="Miriam" w:hAnsi="Miriam" w:cs="Miriam"/>
          <w:rtl/>
        </w:rPr>
      </w:pPr>
    </w:p>
    <w:p w:rsidR="00BB0C20" w:rsidRDefault="00BB0C20" w:rsidP="00BB0C20">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ביום 21.2.23 ניתנה החלטת בית המשפט קמא נושא הערעור (ההחלטה סווגה כפסק דין בהחלטת בית המשפט המחוזי מיום 20.4.23 ברמ"ש 34963-03-23). בית המשפט קבע, כי הסעד לו עותר המערער</w:t>
      </w:r>
      <w:r>
        <w:rPr>
          <w:rFonts w:ascii="Narkisim" w:hAnsi="Narkisim" w:cs="Narkisim" w:hint="cs"/>
          <w:sz w:val="28"/>
          <w:szCs w:val="28"/>
          <w:rtl/>
        </w:rPr>
        <w:t xml:space="preserve">, היינו </w:t>
      </w:r>
      <w:r>
        <w:rPr>
          <w:rFonts w:ascii="Narkisim" w:hAnsi="Narkisim" w:cs="Narkisim"/>
          <w:sz w:val="28"/>
          <w:szCs w:val="28"/>
          <w:rtl/>
        </w:rPr>
        <w:t>- מחיקת תביעת המשיבה בכפוף להשבת המגרש בחדרה שנמכר לצדדי ג'</w:t>
      </w:r>
      <w:r>
        <w:rPr>
          <w:rFonts w:ascii="Narkisim" w:hAnsi="Narkisim" w:cs="Narkisim" w:hint="cs"/>
          <w:sz w:val="28"/>
          <w:szCs w:val="28"/>
          <w:rtl/>
        </w:rPr>
        <w:t>,</w:t>
      </w:r>
      <w:r>
        <w:rPr>
          <w:rFonts w:ascii="Narkisim" w:hAnsi="Narkisim" w:cs="Narkisim"/>
          <w:sz w:val="28"/>
          <w:szCs w:val="28"/>
          <w:rtl/>
        </w:rPr>
        <w:t xml:space="preserve"> אינו הולם את גדרי ההליך הניצב לפניו שעניינו בפירוק שיתוף, וככל שמתבקשת השבה </w:t>
      </w:r>
      <w:r>
        <w:rPr>
          <w:rFonts w:ascii="Narkisim" w:hAnsi="Narkisim" w:cs="Narkisim" w:hint="cs"/>
          <w:sz w:val="28"/>
          <w:szCs w:val="28"/>
          <w:rtl/>
        </w:rPr>
        <w:t xml:space="preserve">של זכויות כאלה ואחרות שומה </w:t>
      </w:r>
      <w:r>
        <w:rPr>
          <w:rFonts w:ascii="Narkisim" w:hAnsi="Narkisim" w:cs="Narkisim"/>
          <w:sz w:val="28"/>
          <w:szCs w:val="28"/>
          <w:rtl/>
        </w:rPr>
        <w:t xml:space="preserve">על המערער לפנות בהליך מתאים.   </w:t>
      </w:r>
    </w:p>
    <w:p w:rsidR="00BB0C20" w:rsidRDefault="00BB0C20" w:rsidP="00BB0C20">
      <w:pPr>
        <w:pStyle w:val="a4"/>
        <w:spacing w:after="160" w:line="360" w:lineRule="auto"/>
        <w:ind w:left="85"/>
        <w:jc w:val="both"/>
        <w:rPr>
          <w:rFonts w:ascii="Narkisim" w:hAnsi="Narkisim" w:cs="Narkisim"/>
          <w:sz w:val="28"/>
          <w:szCs w:val="28"/>
          <w:rtl/>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בית המשפט הוסיף וציין, כי אמנם, בכתב הגנתו טען המערער, כי יש לו קשר ריגשי לנכס בחדרה, שם גדל, וכי הוא מעוניין לרוכשו, אך למעשה, לא פעל על מנת להגשים רצון זה וכי הוא נמנע</w:t>
      </w:r>
      <w:r>
        <w:rPr>
          <w:rFonts w:ascii="Narkisim" w:hAnsi="Narkisim" w:cs="Narkisim" w:hint="cs"/>
          <w:sz w:val="28"/>
          <w:szCs w:val="28"/>
          <w:rtl/>
        </w:rPr>
        <w:t xml:space="preserve"> בפועל </w:t>
      </w:r>
      <w:r>
        <w:rPr>
          <w:rFonts w:ascii="Narkisim" w:hAnsi="Narkisim" w:cs="Narkisim"/>
          <w:sz w:val="28"/>
          <w:szCs w:val="28"/>
          <w:rtl/>
        </w:rPr>
        <w:t xml:space="preserve">מקיום פגישות לצורך קידום פירוק השיתוף בנכס. </w:t>
      </w:r>
    </w:p>
    <w:p w:rsidR="00BB0C20" w:rsidRDefault="00BB0C20" w:rsidP="00BB0C20">
      <w:pPr>
        <w:spacing w:line="360" w:lineRule="auto"/>
        <w:jc w:val="both"/>
        <w:rPr>
          <w:rFonts w:ascii="Narkisim" w:hAnsi="Narkisim" w:cs="Narkisim"/>
          <w:sz w:val="28"/>
          <w:szCs w:val="28"/>
          <w:rtl/>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lastRenderedPageBreak/>
        <w:t xml:space="preserve">עוד קבע בית המשפט, כי הסעד העיקרי ביחס לנכס בחדרה הושלם, שכן המשיבה, שעתרה לפירוק השיתוף מכרה את זכויותיה לצד ג'. לפיכך, אין עוד מקום להמשך הבירור ביחס לתביעה הנוגעת לנכס זה, וכי ככל ומי מבעלי הנכס מעוניינים בפירוק השיתוף בו, הוא רשאי לעתור לעניין זה בתביעה מתאימה. עוד נקבע, כי בכל הנוגע לנכס בנתניה ימשיך ההליך כסדרו.  </w:t>
      </w:r>
    </w:p>
    <w:p w:rsidR="00BB0C20" w:rsidRDefault="00BB0C20" w:rsidP="00BB0C20">
      <w:pPr>
        <w:pStyle w:val="a4"/>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בית המשפט הוסיף ותיאר את השתלשלות העניינים בהליך ממנה עולה כי</w:t>
      </w:r>
      <w:r>
        <w:rPr>
          <w:rFonts w:ascii="Narkisim" w:hAnsi="Narkisim" w:cs="Narkisim" w:hint="cs"/>
          <w:sz w:val="28"/>
          <w:szCs w:val="28"/>
          <w:rtl/>
        </w:rPr>
        <w:t>,</w:t>
      </w:r>
      <w:r>
        <w:rPr>
          <w:rFonts w:ascii="Narkisim" w:hAnsi="Narkisim" w:cs="Narkisim"/>
          <w:sz w:val="28"/>
          <w:szCs w:val="28"/>
          <w:rtl/>
        </w:rPr>
        <w:t xml:space="preserve"> בניגוד לטענת המערער, המכר לצד ג' לא נעשה מאחורי גבו, אלא ניתנה לו הודעה מהמשיבה, באשר לכוונתה למכור את זכויותיה בנכס בחדרה, טרם השלמת המכר. כך גם יכול היה המערער לרכוש את זכויותיה בנכס אילו היה מעונין לעשות כן. </w:t>
      </w:r>
    </w:p>
    <w:p w:rsidR="00BB0C20" w:rsidRPr="00CE3F62" w:rsidRDefault="00BB0C20" w:rsidP="00BB0C20">
      <w:pPr>
        <w:pStyle w:val="a4"/>
        <w:rPr>
          <w:rFonts w:ascii="Narkisim" w:hAnsi="Narkisim" w:cs="Narkisim"/>
          <w:sz w:val="28"/>
          <w:szCs w:val="28"/>
          <w:rtl/>
        </w:rPr>
      </w:pPr>
    </w:p>
    <w:p w:rsidR="00BB0C20" w:rsidRDefault="00BB0C20" w:rsidP="00BB0C20">
      <w:pPr>
        <w:pStyle w:val="a4"/>
        <w:spacing w:after="160" w:line="360" w:lineRule="auto"/>
        <w:ind w:left="85"/>
        <w:jc w:val="both"/>
        <w:rPr>
          <w:rFonts w:ascii="Narkisim" w:hAnsi="Narkisim" w:cs="Narkisim"/>
          <w:sz w:val="28"/>
          <w:szCs w:val="28"/>
          <w:rtl/>
        </w:rPr>
      </w:pPr>
      <w:r>
        <w:rPr>
          <w:rFonts w:ascii="Narkisim" w:hAnsi="Narkisim" w:cs="Narkisim" w:hint="cs"/>
          <w:sz w:val="28"/>
          <w:szCs w:val="28"/>
          <w:rtl/>
        </w:rPr>
        <w:t xml:space="preserve">וזה </w:t>
      </w:r>
      <w:r>
        <w:rPr>
          <w:rFonts w:ascii="Narkisim" w:hAnsi="Narkisim" w:cs="Narkisim"/>
          <w:sz w:val="28"/>
          <w:szCs w:val="28"/>
          <w:rtl/>
        </w:rPr>
        <w:t xml:space="preserve">מהלך הדברים תואר בפסק הדין - </w:t>
      </w:r>
    </w:p>
    <w:p w:rsidR="00BB0C20" w:rsidRDefault="00BB0C20" w:rsidP="00BB0C20">
      <w:pPr>
        <w:pStyle w:val="a4"/>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ביום 18.7.21 (כשנתיים לפני מועד פסק הדין) התקיים בפני בית משפט קמא דיון במסגרתו, נתן המערער הסכמתו (באמצעות ב"כ דאז) לפירוק השיתוף בנכס בחדרה לרבות מינוי שמאי</w:t>
      </w:r>
      <w:r>
        <w:rPr>
          <w:rFonts w:ascii="Narkisim" w:hAnsi="Narkisim" w:cs="Narkisim" w:hint="cs"/>
          <w:sz w:val="28"/>
          <w:szCs w:val="28"/>
          <w:rtl/>
        </w:rPr>
        <w:t>,</w:t>
      </w:r>
      <w:r>
        <w:rPr>
          <w:rFonts w:ascii="Narkisim" w:hAnsi="Narkisim" w:cs="Narkisim"/>
          <w:sz w:val="28"/>
          <w:szCs w:val="28"/>
          <w:rtl/>
        </w:rPr>
        <w:t xml:space="preserve"> וניתן פס"ד חלקי בעניין. המשיבים 2-3 הודיעו ביום 4.10.2021 שהם מוכנים לפירוק השיתוף על דרך של מכירה לצד ג' למרבה במחיר ובמסגרת הדיון ניתן תוקף של פסק דין להסכמות המשיבה והמשיבים 2-3 בנוגע למגרש בחדרה, כאשר ההסכמות היו:</w:t>
      </w:r>
    </w:p>
    <w:p w:rsidR="00BB0C20" w:rsidRDefault="00BB0C20" w:rsidP="00BB0C20">
      <w:pPr>
        <w:ind w:left="1077" w:right="993"/>
        <w:jc w:val="both"/>
        <w:rPr>
          <w:rFonts w:ascii="Narkisim" w:hAnsi="Narkisim" w:cs="Narkisim"/>
          <w:sz w:val="28"/>
          <w:szCs w:val="28"/>
        </w:rPr>
      </w:pPr>
      <w:r>
        <w:rPr>
          <w:rFonts w:ascii="Narkisim" w:hAnsi="Narkisim" w:cs="Narkisim"/>
          <w:sz w:val="28"/>
          <w:szCs w:val="28"/>
        </w:rPr>
        <w:t xml:space="preserve"> </w:t>
      </w:r>
      <w:r>
        <w:rPr>
          <w:rFonts w:ascii="Narkisim" w:hAnsi="Narkisim" w:cs="Narkisim"/>
          <w:sz w:val="28"/>
          <w:szCs w:val="28"/>
          <w:rtl/>
        </w:rPr>
        <w:t xml:space="preserve">"לעניין הנכס בחדרה, מוסכם עלינו, תוך שמירת מלוא טענותינו כי ימונה שמאי, זאת כאשר התובעת טוענת כי אין צורך במינוי שמאי לעניין פירוק שיתוף ואילו הנתבעים סבורים שכן וככל ויעלה כי לא היה צורך מלכתחילה יושתו כלל </w:t>
      </w:r>
      <w:r>
        <w:rPr>
          <w:rFonts w:ascii="Narkisim" w:hAnsi="Narkisim" w:cs="Narkisim"/>
          <w:sz w:val="28"/>
          <w:szCs w:val="28"/>
          <w:rtl/>
        </w:rPr>
        <w:lastRenderedPageBreak/>
        <w:t xml:space="preserve">ההוצאות על הנתבעים 1-3 בעניין חוות דעת השמאי. בשלב זה יישאו הצדדים בחלקים שווים ביניהם בעלות חוו"ד השמאי (חצי חצי). כמו כן, </w:t>
      </w:r>
      <w:r>
        <w:rPr>
          <w:rFonts w:ascii="Narkisim" w:hAnsi="Narkisim" w:cs="Narkisim"/>
          <w:b/>
          <w:bCs/>
          <w:sz w:val="28"/>
          <w:szCs w:val="28"/>
          <w:rtl/>
        </w:rPr>
        <w:t>הסכמתנו למינוי השמאי היא בכפוף לכך שכבר עתה ניתנת הסכמה לפירוק השיתוף</w:t>
      </w:r>
      <w:r>
        <w:rPr>
          <w:rFonts w:ascii="Narkisim" w:hAnsi="Narkisim" w:cs="Narkisim"/>
          <w:sz w:val="28"/>
          <w:szCs w:val="28"/>
          <w:rtl/>
        </w:rPr>
        <w:t>.  לפיכך נבקש כי יינתן פסק דין חלקי בעניין זה באופן שיסיים את המחלוקת בנוגע לנכס בחדרה" (עמ' 5 לפרו' מיום 18.7.21)</w:t>
      </w:r>
    </w:p>
    <w:p w:rsidR="00BB0C20" w:rsidRDefault="00BB0C20" w:rsidP="00BB0C20">
      <w:pPr>
        <w:pStyle w:val="a4"/>
        <w:spacing w:after="160" w:line="360" w:lineRule="auto"/>
        <w:ind w:left="85"/>
        <w:jc w:val="both"/>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בהמשך, הגישה המשיבה בקשה למתן פס"ד חלקי באשר לנכס בחדרה ובית המשפט בהחלטתו מיום  3.2.22 קבע, בין היתר, כי יש מקום ליתן צו לפירוק השיתוף בשני הנכסים, ואין מקום עוד לעכב את פירוק השיתוף בנכסים אלא יש לקדמו תחת קיום דיון בטענות השונות של הצדדים, אשר שמורות להם ותתבררנה, ככל שיעלה הצורך,</w:t>
      </w:r>
      <w:r>
        <w:rPr>
          <w:rFonts w:ascii="Narkisim" w:hAnsi="Narkisim" w:cs="Narkisim"/>
          <w:b/>
          <w:bCs/>
          <w:sz w:val="28"/>
          <w:szCs w:val="28"/>
          <w:rtl/>
        </w:rPr>
        <w:t xml:space="preserve"> במסגרת פסק הדין הסופי</w:t>
      </w:r>
      <w:r>
        <w:rPr>
          <w:rFonts w:ascii="Narkisim" w:hAnsi="Narkisim" w:cs="Narkisim"/>
          <w:sz w:val="28"/>
          <w:szCs w:val="28"/>
          <w:rtl/>
        </w:rPr>
        <w:t xml:space="preserve">. באשר לאופן ביצוע פירוק השיתוף – נקבע, כי  טרם הכרעה באשר לאופן הפירוק יש למנות מומחה מטעם ביהמ"ש, אשר יגיש חוו"ד בדבר אפשרויות הפירוק הקיימות, בין אם חלוקה בעין ובין אם על דרך של מכירה לצד ג', ואין מקום בשלב זה להכריע על יסוד טענות הצדדים לבדן. </w:t>
      </w:r>
    </w:p>
    <w:p w:rsidR="00BB0C20" w:rsidRDefault="00BB0C20" w:rsidP="00BB0C20">
      <w:pPr>
        <w:pStyle w:val="a4"/>
        <w:spacing w:after="160" w:line="360" w:lineRule="auto"/>
        <w:ind w:left="85"/>
        <w:jc w:val="both"/>
        <w:rPr>
          <w:rFonts w:ascii="Narkisim" w:hAnsi="Narkisim" w:cs="Narkisim"/>
          <w:sz w:val="28"/>
          <w:szCs w:val="28"/>
          <w:rtl/>
        </w:rPr>
      </w:pPr>
    </w:p>
    <w:p w:rsidR="00BB0C20" w:rsidRDefault="00BB0C20" w:rsidP="00BB0C20">
      <w:pPr>
        <w:pStyle w:val="a4"/>
        <w:spacing w:after="160" w:line="360" w:lineRule="auto"/>
        <w:ind w:left="85"/>
        <w:jc w:val="both"/>
        <w:rPr>
          <w:rFonts w:ascii="Narkisim" w:hAnsi="Narkisim" w:cs="Narkisim"/>
          <w:sz w:val="28"/>
          <w:szCs w:val="28"/>
        </w:rPr>
      </w:pPr>
      <w:r>
        <w:rPr>
          <w:rFonts w:ascii="Narkisim" w:hAnsi="Narkisim" w:cs="Narkisim"/>
          <w:sz w:val="28"/>
          <w:szCs w:val="28"/>
          <w:rtl/>
        </w:rPr>
        <w:t xml:space="preserve">בכל הנוגע לטענת המערער כי הוא מעוניין לרכוש את זכויות המשיבה בנכס, קבע בית המשפט </w:t>
      </w:r>
      <w:r>
        <w:rPr>
          <w:rFonts w:ascii="Narkisim" w:hAnsi="Narkisim" w:cs="Narkisim" w:hint="cs"/>
          <w:sz w:val="28"/>
          <w:szCs w:val="28"/>
          <w:rtl/>
        </w:rPr>
        <w:t>כדקלמן</w:t>
      </w:r>
      <w:r>
        <w:rPr>
          <w:rFonts w:ascii="Narkisim" w:hAnsi="Narkisim" w:cs="Narkisim"/>
          <w:sz w:val="28"/>
          <w:szCs w:val="28"/>
          <w:rtl/>
        </w:rPr>
        <w:t>:</w:t>
      </w:r>
    </w:p>
    <w:p w:rsidR="00BB0C20" w:rsidRDefault="00BB0C20" w:rsidP="00BB0C20">
      <w:pPr>
        <w:ind w:left="1077" w:right="993"/>
        <w:jc w:val="both"/>
        <w:rPr>
          <w:rFonts w:ascii="Narkisim" w:hAnsi="Narkisim" w:cs="Narkisim"/>
          <w:sz w:val="28"/>
          <w:szCs w:val="28"/>
        </w:rPr>
      </w:pPr>
      <w:r>
        <w:rPr>
          <w:rFonts w:ascii="Narkisim" w:hAnsi="Narkisim" w:cs="Narkisim"/>
          <w:sz w:val="28"/>
          <w:szCs w:val="28"/>
          <w:rtl/>
        </w:rPr>
        <w:t xml:space="preserve">"אשר לטענת הנתבע 2 כי הוא מעוניין לרכוש את חלקה של התובעת – </w:t>
      </w:r>
      <w:r>
        <w:rPr>
          <w:rFonts w:ascii="Narkisim" w:hAnsi="Narkisim" w:cs="Narkisim"/>
          <w:sz w:val="28"/>
          <w:szCs w:val="28"/>
          <w:u w:val="single"/>
          <w:rtl/>
        </w:rPr>
        <w:t>לא התרשמתי כי מדובר ברצון כן ולמצער כזה העולה בקנה אחד עם ההתנהלות בפועל; שכן לא שוכנעתי כי אכן הנתבע פעל ופועל לרכישת חלקה של התובעת בנכס, זאת מאחר והתובעת הציעה מספר פעמים במהלך ניהול ההליך למכור את חלקה לנתבע אך הוא לא נקט בצעד קונקרטי בנדון.</w:t>
      </w:r>
      <w:r>
        <w:rPr>
          <w:rFonts w:ascii="Narkisim" w:hAnsi="Narkisim" w:cs="Narkisim"/>
          <w:sz w:val="28"/>
          <w:szCs w:val="28"/>
          <w:rtl/>
        </w:rPr>
        <w:t xml:space="preserve"> אילו היה רוצה הנתבע 2 לרכוש את חלקה של התובעת בנכס בנתניה, יש להניח שהיה עושה כן בין אם במהלך </w:t>
      </w:r>
      <w:r>
        <w:rPr>
          <w:rFonts w:ascii="Narkisim" w:hAnsi="Narkisim" w:cs="Narkisim"/>
          <w:sz w:val="28"/>
          <w:szCs w:val="28"/>
          <w:rtl/>
        </w:rPr>
        <w:lastRenderedPageBreak/>
        <w:t>השנים שעברו טרם הגשת כתב התביעה ובין אם לאחריו; לפיכך לא מצאתי לעכב את הליך הפירוק בגין טענה זו של הנתבע" (ההדגשה הוספה במסגרת ההחלטה מושא ההליך כאן)</w:t>
      </w:r>
    </w:p>
    <w:p w:rsidR="00BB0C20" w:rsidRDefault="00BB0C20" w:rsidP="00BB0C20">
      <w:pPr>
        <w:spacing w:line="360" w:lineRule="auto"/>
        <w:jc w:val="both"/>
        <w:rPr>
          <w:rFonts w:ascii="Narkisim" w:hAnsi="Narkisim" w:cs="Narkisim"/>
          <w:b/>
          <w:bCs/>
          <w:sz w:val="28"/>
          <w:szCs w:val="28"/>
          <w:rtl/>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ביום 21.8.22 הגישה המשיבה הודעה לביהמ"ש בה הודיעה על כוונתה למכור לאלתר את זכויותיה בנכס בחדרה. לטענתה, הזכות קמה לה, בין היתר, נוכח החלטת בית המשפט מיום 3.2.33 וכן נוכח קביעתו של המומחה מטעם ביהמ"ש אשר המליץ לפרק את הנכס בחדרה בדרך של מכירה לצד ג' לכל המרבה במחיר. בהחלטתו על גבי הודעת המשיבה ציין בית המשפט כי ההודעה אינה מזכה בסעד אופרטיבי.</w:t>
      </w:r>
    </w:p>
    <w:p w:rsidR="00BB0C20" w:rsidRDefault="00BB0C20" w:rsidP="00BB0C20">
      <w:pPr>
        <w:pStyle w:val="a4"/>
        <w:spacing w:line="360" w:lineRule="auto"/>
        <w:ind w:left="0"/>
        <w:jc w:val="both"/>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ביום 23.8.22 הגיש המערער בקשה לזימון מומחה לצורך חקירתו. לאחר קבלת תגובות הצדדים נקבע בהחלטה מיום 31.10.22 כי המבקש רשאי לזמן את המומחה בכפוף להפקדת 4,000 ₪ בקופת ביהמ"ש בתוך 30 ימים והתיק נקבע להוכחות ליום 23.1.23 תוך שניתנה הוראה להגשת תצהירים.</w:t>
      </w:r>
    </w:p>
    <w:p w:rsidR="00BB0C20" w:rsidRDefault="00BB0C20" w:rsidP="00BB0C20">
      <w:pPr>
        <w:pStyle w:val="a4"/>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ביום 16.10.22 הגיש המערער בקשה למתן צו למניעת מכירת זכויות המשיבה בנכס בחדרה לאחר שגילה שהמשיבה </w:t>
      </w:r>
      <w:r>
        <w:rPr>
          <w:rFonts w:ascii="Narkisim" w:hAnsi="Narkisim" w:cs="Narkisim"/>
          <w:b/>
          <w:bCs/>
          <w:sz w:val="28"/>
          <w:szCs w:val="28"/>
          <w:rtl/>
        </w:rPr>
        <w:t>מכרה</w:t>
      </w:r>
      <w:r>
        <w:rPr>
          <w:rFonts w:ascii="Narkisim" w:hAnsi="Narkisim" w:cs="Narkisim"/>
          <w:sz w:val="28"/>
          <w:szCs w:val="28"/>
          <w:rtl/>
        </w:rPr>
        <w:t xml:space="preserve"> את חלקה לצדדים שלישיים. בהמשך, הגיש המבקש בקשה להשבת הזכויות בנכס שנמכרו על ידי המשיבה, בקשה שהועברה להתייחסות הצדדים לרבות עמדת צדדי ג'. לאחר שהתקבלו עמדות הצדדים נקבע כי מועד הדיון הקבוע להוכחות ישמש  כדיון בבקשה להשבת הזכויות בנכס.</w:t>
      </w: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lastRenderedPageBreak/>
        <w:t>בהחלטה נוספת, מיום 21.2.23, ולאחר שנמצא כי מכר זכויות המבקשת בנכס בחדרה הושלם, קבע בית משפט קמא כי הסעד בעניין הנכס בחדרה הושלם ומשכך התייתר הצורך בהכרעה בתביעה לפירוק השיתוף ביחס אליו, תוך שהוא מציין כי הצדדים רשאים לפעול בהתאם לדין למיצוי זכויותיהם בעניין זה.</w:t>
      </w:r>
    </w:p>
    <w:p w:rsidR="00BB0C20" w:rsidRDefault="00BB0C20" w:rsidP="00BB0C20">
      <w:pPr>
        <w:pStyle w:val="a4"/>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להשלמת התמונה יצוין, כי המערער ביקש לעכב את ביצוע המכר לצד ג', בית המשפט קמא דחה בקשתו, ובר"ע שהוגשה על ידי המערער לבית משפט זה, נדחתה אף היא, ביום 4.5.2023 (רמ"ש 41526-04-23), תוך שנקבע כי מדובר בזכויות במושע וכי אין כל מניעה כי המשיבה תמכור זכויותיה לצד ג'. </w:t>
      </w:r>
    </w:p>
    <w:p w:rsidR="00BB0C20" w:rsidRDefault="00BB0C20" w:rsidP="00BB0C20">
      <w:pPr>
        <w:spacing w:line="360" w:lineRule="auto"/>
        <w:jc w:val="both"/>
        <w:rPr>
          <w:rFonts w:ascii="Narkisim" w:hAnsi="Narkisim" w:cs="Narkisim"/>
          <w:sz w:val="28"/>
          <w:szCs w:val="28"/>
        </w:rPr>
      </w:pPr>
    </w:p>
    <w:p w:rsidR="00BB0C20" w:rsidRDefault="00BB0C20" w:rsidP="00BB0C20">
      <w:pPr>
        <w:spacing w:line="360" w:lineRule="auto"/>
        <w:jc w:val="both"/>
        <w:rPr>
          <w:rFonts w:ascii="Miriam" w:hAnsi="Miriam" w:cs="Miriam"/>
          <w:rtl/>
        </w:rPr>
      </w:pPr>
      <w:r>
        <w:rPr>
          <w:rFonts w:ascii="Miriam" w:hAnsi="Miriam" w:cs="Miriam"/>
          <w:rtl/>
        </w:rPr>
        <w:t>תמצית טענות המערער</w:t>
      </w:r>
    </w:p>
    <w:p w:rsidR="00BB0C20" w:rsidRDefault="00BB0C20" w:rsidP="00BB0C20">
      <w:pPr>
        <w:spacing w:line="360" w:lineRule="auto"/>
        <w:jc w:val="both"/>
        <w:rPr>
          <w:rFonts w:ascii="Miriam" w:hAnsi="Miriam" w:cs="Miriam"/>
          <w:rtl/>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יש להורות על מחיקת התביעה לפירוק שיתוף ולהשיב את הזכויות בנכס בחדרה שנמכרו על ידי המשיבה לידיה ולשם כך יש לצרף את צדדי ג' לערעור כאן. מדובר במקרה יוצא דופן בו יוזם ההליך המשפטי שעניינו בפירוק שיתוף, מחליט על דעת עצמו למכור את חלקו בנכס, בו יש לו שותפים, דבר המחייב את השבת הזכויות בנכס בחדרה לידי המשיבה ומחיקת תביעתה. בין הצדדים התנהל הליך משפטי ארוך בנוגע לאופן פירוק השיתוף ובמהלכו גילה המערער כי המשיבה מכרה את חלקה. רק לאחר </w:t>
      </w:r>
      <w:r>
        <w:rPr>
          <w:rFonts w:ascii="Narkisim" w:hAnsi="Narkisim" w:cs="Narkisim"/>
          <w:sz w:val="28"/>
          <w:szCs w:val="28"/>
          <w:rtl/>
        </w:rPr>
        <w:lastRenderedPageBreak/>
        <w:t xml:space="preserve">מכן התקיים הליך בפני בית המשפט, אליו צורפו צדדי ג', ולאחר שמיעת כלל הצדדים ניתנה ההחלטה מושא ההליך, המהווה, למעשה פסק דין וזאת מבלי שנשמעו ראיות. קיים הסכם להחלפת נכסים בינו לבין המשיבים 2-3, וכי האחרונים הפרו אותו. </w:t>
      </w:r>
    </w:p>
    <w:p w:rsidR="00BB0C20" w:rsidRDefault="00BB0C20" w:rsidP="00BB0C20">
      <w:pPr>
        <w:pStyle w:val="a4"/>
        <w:spacing w:after="160" w:line="360" w:lineRule="auto"/>
        <w:ind w:left="85"/>
        <w:jc w:val="both"/>
        <w:rPr>
          <w:rFonts w:ascii="Narkisim" w:hAnsi="Narkisim" w:cs="Narkisim"/>
          <w:sz w:val="28"/>
          <w:szCs w:val="28"/>
        </w:rPr>
      </w:pPr>
    </w:p>
    <w:p w:rsidR="00BB0C20" w:rsidRDefault="00BB0C20" w:rsidP="00BB0C20">
      <w:pPr>
        <w:pStyle w:val="a4"/>
        <w:spacing w:line="360" w:lineRule="auto"/>
        <w:ind w:left="0"/>
        <w:jc w:val="both"/>
        <w:rPr>
          <w:rFonts w:ascii="Miriam" w:hAnsi="Miriam" w:cs="Miriam"/>
        </w:rPr>
      </w:pPr>
      <w:r>
        <w:rPr>
          <w:rFonts w:ascii="Miriam" w:hAnsi="Miriam" w:cs="Miriam"/>
          <w:rtl/>
        </w:rPr>
        <w:t xml:space="preserve">תמצית טענות המשיבה </w:t>
      </w:r>
    </w:p>
    <w:p w:rsidR="00BB0C20" w:rsidRDefault="00BB0C20" w:rsidP="00BB0C20">
      <w:pPr>
        <w:pStyle w:val="a4"/>
        <w:spacing w:line="360" w:lineRule="auto"/>
        <w:ind w:left="0"/>
        <w:jc w:val="both"/>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ראשית דבר, מדובר במעשה עשוי שכן הרוכשים כבר רשומים כבעלי זכויות בנכס בחדרה. די בכך בכדי לדחות את הערעור. מכל מקום, ולמעלה מן הצורך - לא היתה כל מניעה כי המשיבה תמכור את זכויויתה בנכס בחדרה, אחר שביום 3.2.22 ניתן צו לפירוק השיתוף בנכס והמשיבה לא היתה זקוקה לרשותו או הסכמתו של המערער לצורך מכירת חלקה שלה בלבד דבר שנמנע ממנה משך למעלה מ 17 שנה אחר פטירת אביה המנוח בשל קשיים שונים שהערים המערער. </w:t>
      </w:r>
    </w:p>
    <w:p w:rsidR="00BB0C20" w:rsidRDefault="00BB0C20" w:rsidP="00BB0C20">
      <w:pPr>
        <w:pStyle w:val="a4"/>
        <w:spacing w:after="160" w:line="360" w:lineRule="auto"/>
        <w:ind w:left="85"/>
        <w:jc w:val="both"/>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 xml:space="preserve">אף זכות מזכויותיו של המערער לא נפגעה שכן המשיבה לא מכרה את זכויותיו שלו אלא את זכויותיה שלה בלבד. המשיבה אף לא מכרה את זכויותיה בהסתר אלא הודיעה לבית המשפט ולכלל הצדדים כי מצאה רוכשים וכי בדעתה למכור את חלקה שלה בנכס ורק לאחר הודעה זו נחתם הסכם המכר (ביום 6.9.22 וביום 21.2.23 הודיעו הצדדים השלישיים על השלמת המכר). כך או כך, בכל מקרה, אף אילו לא היו נמכרות הזכויות לצדדי ג', לא יכול היה המערער לחייב את המשיבה למכור לו את זכויותיה </w:t>
      </w:r>
      <w:r>
        <w:rPr>
          <w:rFonts w:ascii="Narkisim" w:hAnsi="Narkisim" w:cs="Narkisim"/>
          <w:sz w:val="28"/>
          <w:szCs w:val="28"/>
          <w:rtl/>
        </w:rPr>
        <w:lastRenderedPageBreak/>
        <w:t xml:space="preserve">שכן אין כל בסיס משפטי לחיוב כאמור וכפי שהתרשם בית המשפט קמא, למערער היו הזדמנויות רבות לרכוש את הנכס בחדרה והוא בחר שלא לעשות כן. </w:t>
      </w:r>
    </w:p>
    <w:p w:rsidR="00BB0C20" w:rsidRDefault="00BB0C20" w:rsidP="00BB0C20">
      <w:pPr>
        <w:pStyle w:val="a4"/>
        <w:spacing w:line="360" w:lineRule="auto"/>
        <w:ind w:left="0"/>
        <w:jc w:val="both"/>
        <w:rPr>
          <w:rFonts w:ascii="Narkisim" w:hAnsi="Narkisim" w:cs="Narkisim"/>
          <w:sz w:val="28"/>
          <w:szCs w:val="28"/>
          <w:rtl/>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Pr>
      </w:pPr>
      <w:r>
        <w:rPr>
          <w:rFonts w:ascii="Narkisim" w:hAnsi="Narkisim" w:cs="Narkisim"/>
          <w:sz w:val="28"/>
          <w:szCs w:val="28"/>
          <w:rtl/>
        </w:rPr>
        <w:t xml:space="preserve">המשיבה היא אם חד הורית לחמישה ילדים והייתה זקוקה לתמורת הנכס בחדרה לפרנסת ילדיה. המערער עיכב את מכירת הנכס תקופה ארוכה, עד שלא נותרה למשיבה כל ברירה והיא מכרה את חלקה בלבד. </w:t>
      </w:r>
    </w:p>
    <w:p w:rsidR="00BB0C20" w:rsidRDefault="00BB0C20" w:rsidP="00BB0C20">
      <w:pPr>
        <w:pStyle w:val="a4"/>
        <w:rPr>
          <w:rFonts w:ascii="Narkisim" w:hAnsi="Narkisim" w:cs="Narkisim"/>
          <w:sz w:val="28"/>
          <w:szCs w:val="28"/>
        </w:rPr>
      </w:pPr>
    </w:p>
    <w:p w:rsidR="00BB0C20" w:rsidRDefault="00BB0C20" w:rsidP="00BB0C20">
      <w:pPr>
        <w:pStyle w:val="a4"/>
        <w:numPr>
          <w:ilvl w:val="0"/>
          <w:numId w:val="1"/>
        </w:numPr>
        <w:spacing w:after="160" w:line="360" w:lineRule="auto"/>
        <w:ind w:left="85" w:firstLine="0"/>
        <w:jc w:val="both"/>
        <w:rPr>
          <w:rFonts w:ascii="Narkisim" w:hAnsi="Narkisim" w:cs="Narkisim"/>
          <w:sz w:val="28"/>
          <w:szCs w:val="28"/>
          <w:rtl/>
        </w:rPr>
      </w:pPr>
      <w:r>
        <w:rPr>
          <w:rFonts w:ascii="Narkisim" w:hAnsi="Narkisim" w:cs="Narkisim"/>
          <w:sz w:val="28"/>
          <w:szCs w:val="28"/>
          <w:rtl/>
        </w:rPr>
        <w:t xml:space="preserve">בנוגע לנכס בנתניה טרם ניתן פסק דין, ההחלטה מושא הערעור כלל אינה עוסקת בו, וטרם קם המועד לדון בטענות המערער בנוגע לקביעות בית המשפט בהתייחס לנכס בנתניה. </w:t>
      </w:r>
    </w:p>
    <w:p w:rsidR="00BB0C20" w:rsidRDefault="00BB0C20" w:rsidP="00BB0C20">
      <w:pPr>
        <w:pStyle w:val="a4"/>
        <w:spacing w:after="160" w:line="360" w:lineRule="auto"/>
        <w:ind w:left="0"/>
        <w:jc w:val="both"/>
        <w:rPr>
          <w:rFonts w:ascii="Narkisim" w:hAnsi="Narkisim" w:cs="Narkisim"/>
          <w:sz w:val="28"/>
          <w:szCs w:val="28"/>
        </w:rPr>
      </w:pPr>
      <w:r>
        <w:rPr>
          <w:rFonts w:ascii="Narkisim" w:hAnsi="Narkisim" w:cs="Narkisim"/>
          <w:sz w:val="28"/>
          <w:szCs w:val="28"/>
          <w:rtl/>
        </w:rPr>
        <w:t xml:space="preserve"> </w:t>
      </w:r>
    </w:p>
    <w:p w:rsidR="00BB0C20" w:rsidRDefault="00BB0C20" w:rsidP="00BB0C20">
      <w:pPr>
        <w:pStyle w:val="a4"/>
        <w:spacing w:line="360" w:lineRule="auto"/>
        <w:ind w:left="0"/>
        <w:jc w:val="both"/>
        <w:rPr>
          <w:rFonts w:ascii="Miriam" w:hAnsi="Miriam" w:cs="Miriam"/>
          <w:rtl/>
        </w:rPr>
      </w:pPr>
      <w:r>
        <w:rPr>
          <w:rFonts w:ascii="Miriam" w:hAnsi="Miriam" w:cs="Miriam"/>
          <w:rtl/>
        </w:rPr>
        <w:t xml:space="preserve">תמצית טענות המשיבים 2-3 </w:t>
      </w:r>
    </w:p>
    <w:p w:rsidR="00BB0C20" w:rsidRDefault="00BB0C20" w:rsidP="00BB0C20">
      <w:pPr>
        <w:pStyle w:val="a4"/>
        <w:spacing w:line="360" w:lineRule="auto"/>
        <w:ind w:left="0"/>
        <w:jc w:val="both"/>
        <w:rPr>
          <w:rFonts w:ascii="Miriam" w:hAnsi="Miriam" w:cs="Miriam"/>
          <w:rtl/>
        </w:rPr>
      </w:pPr>
    </w:p>
    <w:p w:rsidR="00BB0C20" w:rsidRDefault="00BB0C20" w:rsidP="00BB0C20">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לא נפלה כל שגיאה בהחלטת בית המשפט. המשיבה רשאית למכור זכויותיה למי שרצונה בכך מכוח הוראת סעיף 34 </w:t>
      </w:r>
      <w:r w:rsidRPr="007E282E">
        <w:rPr>
          <w:rFonts w:ascii="Miriam" w:hAnsi="Miriam" w:cs="Miriam"/>
          <w:rtl/>
        </w:rPr>
        <w:t>לחוק המקרקעין</w:t>
      </w:r>
      <w:r>
        <w:rPr>
          <w:rFonts w:ascii="Narkisim" w:hAnsi="Narkisim" w:cs="Narkisim"/>
          <w:sz w:val="28"/>
          <w:szCs w:val="28"/>
          <w:rtl/>
        </w:rPr>
        <w:t xml:space="preserve"> ולמערער אין כל זכות למנוע הימנה לעשות כן, קל וחומר מקום בו המכר הושלם. לא היה כל הסכם בין המערער למשיבים 2-3, לא בכדי לא הוצג הסכם כזה, ומכל מקום, טענה זו אינה רלוונטית לדרישת המערער בנוגע לחלקה של המשיבה בנכס בחדרה. </w:t>
      </w:r>
    </w:p>
    <w:p w:rsidR="00BB0C20" w:rsidRDefault="00BB0C20" w:rsidP="00BB0C20">
      <w:pPr>
        <w:pStyle w:val="a4"/>
        <w:spacing w:line="360" w:lineRule="auto"/>
        <w:ind w:left="0"/>
        <w:jc w:val="both"/>
        <w:rPr>
          <w:rFonts w:ascii="Narkisim" w:hAnsi="Narkisim" w:cs="Narkisim"/>
          <w:sz w:val="28"/>
          <w:szCs w:val="28"/>
          <w:rtl/>
        </w:rPr>
      </w:pPr>
    </w:p>
    <w:p w:rsidR="00BB0C20" w:rsidRDefault="00BB0C20" w:rsidP="00BB0C20">
      <w:pPr>
        <w:pStyle w:val="a4"/>
        <w:spacing w:line="360" w:lineRule="auto"/>
        <w:ind w:left="0"/>
        <w:jc w:val="both"/>
        <w:rPr>
          <w:rFonts w:ascii="Narkisim" w:hAnsi="Narkisim" w:cs="Narkisim"/>
          <w:sz w:val="28"/>
          <w:szCs w:val="28"/>
          <w:rtl/>
        </w:rPr>
      </w:pPr>
    </w:p>
    <w:p w:rsidR="00BB0C20" w:rsidRDefault="00BB0C20" w:rsidP="00BB0C20">
      <w:pPr>
        <w:pStyle w:val="a4"/>
        <w:spacing w:line="360" w:lineRule="auto"/>
        <w:ind w:left="0"/>
        <w:jc w:val="both"/>
        <w:rPr>
          <w:rFonts w:ascii="Narkisim" w:hAnsi="Narkisim" w:cs="Narkisim"/>
          <w:sz w:val="28"/>
          <w:szCs w:val="28"/>
          <w:rtl/>
        </w:rPr>
      </w:pPr>
    </w:p>
    <w:p w:rsidR="00BB0C20" w:rsidRDefault="00BB0C20" w:rsidP="00BB0C20">
      <w:pPr>
        <w:pStyle w:val="a4"/>
        <w:spacing w:line="360" w:lineRule="auto"/>
        <w:ind w:left="0"/>
        <w:jc w:val="both"/>
        <w:rPr>
          <w:rFonts w:ascii="Narkisim" w:hAnsi="Narkisim" w:cs="Narkisim"/>
          <w:sz w:val="28"/>
          <w:szCs w:val="28"/>
          <w:rtl/>
        </w:rPr>
      </w:pPr>
    </w:p>
    <w:p w:rsidR="00BB0C20" w:rsidRDefault="00BB0C20" w:rsidP="00BB0C20">
      <w:pPr>
        <w:pStyle w:val="a4"/>
        <w:spacing w:line="360" w:lineRule="auto"/>
        <w:ind w:left="0"/>
        <w:jc w:val="both"/>
        <w:rPr>
          <w:rFonts w:ascii="Miriam" w:hAnsi="Miriam" w:cs="Miriam"/>
          <w:rtl/>
        </w:rPr>
      </w:pPr>
      <w:r>
        <w:rPr>
          <w:rFonts w:ascii="Miriam" w:hAnsi="Miriam" w:cs="Miriam"/>
          <w:rtl/>
        </w:rPr>
        <w:t>תמצית טענות המשיבות 4-5</w:t>
      </w:r>
    </w:p>
    <w:p w:rsidR="00BB0C20" w:rsidRDefault="00BB0C20" w:rsidP="00BB0C20">
      <w:pPr>
        <w:pStyle w:val="a4"/>
        <w:spacing w:line="360" w:lineRule="auto"/>
        <w:ind w:left="0"/>
        <w:jc w:val="both"/>
        <w:rPr>
          <w:rFonts w:ascii="Miriam" w:hAnsi="Miriam" w:cs="Miriam"/>
        </w:rPr>
      </w:pPr>
    </w:p>
    <w:p w:rsidR="00BB0C20" w:rsidRDefault="00BB0C20" w:rsidP="00BB0C20">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המשיבות 4-5 ביקשו לפטור אותן מהתייצבות לדיון שכן אין להן כל זכויות בנכס בחדרה. </w:t>
      </w:r>
      <w:r>
        <w:rPr>
          <w:rFonts w:ascii="Narkisim" w:hAnsi="Narkisim" w:cs="Narkisim" w:hint="cs"/>
          <w:sz w:val="28"/>
          <w:szCs w:val="28"/>
          <w:rtl/>
        </w:rPr>
        <w:t xml:space="preserve">הן </w:t>
      </w:r>
      <w:r>
        <w:rPr>
          <w:rFonts w:ascii="Narkisim" w:hAnsi="Narkisim" w:cs="Narkisim"/>
          <w:sz w:val="28"/>
          <w:szCs w:val="28"/>
          <w:rtl/>
        </w:rPr>
        <w:t xml:space="preserve">הוסיפו טיעון בנוגע לנכס בנתניה, אך כיוון שהנכס בנתניה אינו עומד בלב ההליך כאן, לא מצאנו לפרטו. </w:t>
      </w:r>
    </w:p>
    <w:p w:rsidR="00BB0C20" w:rsidRDefault="00BB0C20" w:rsidP="00BB0C20">
      <w:pPr>
        <w:pStyle w:val="a4"/>
        <w:spacing w:line="360" w:lineRule="auto"/>
        <w:ind w:left="0"/>
        <w:jc w:val="both"/>
        <w:rPr>
          <w:rFonts w:ascii="Miriam" w:hAnsi="Miriam" w:cs="Miriam"/>
          <w:rtl/>
        </w:rPr>
      </w:pPr>
    </w:p>
    <w:p w:rsidR="00BB0C20" w:rsidRDefault="00BB0C20" w:rsidP="00BB0C20">
      <w:pPr>
        <w:pStyle w:val="a4"/>
        <w:spacing w:line="360" w:lineRule="auto"/>
        <w:ind w:left="0"/>
        <w:jc w:val="both"/>
        <w:rPr>
          <w:rFonts w:ascii="Miriam" w:hAnsi="Miriam" w:cs="Miriam"/>
          <w:rtl/>
        </w:rPr>
      </w:pPr>
      <w:r>
        <w:rPr>
          <w:rFonts w:ascii="Miriam" w:hAnsi="Miriam" w:cs="Miriam"/>
          <w:rtl/>
        </w:rPr>
        <w:t xml:space="preserve">טענות הצדדים בדיון בערעור </w:t>
      </w:r>
    </w:p>
    <w:p w:rsidR="00BB0C20" w:rsidRDefault="00BB0C20" w:rsidP="00BB0C20">
      <w:pPr>
        <w:pStyle w:val="a4"/>
        <w:spacing w:after="160" w:line="360" w:lineRule="auto"/>
        <w:ind w:left="0"/>
        <w:jc w:val="both"/>
        <w:rPr>
          <w:rFonts w:ascii="Narkisim" w:hAnsi="Narkisim" w:cs="Narkisim"/>
          <w:noProof w:val="0"/>
          <w:sz w:val="28"/>
          <w:szCs w:val="28"/>
          <w:rtl/>
        </w:rPr>
      </w:pPr>
    </w:p>
    <w:p w:rsidR="00BB0C20" w:rsidRDefault="00BB0C20" w:rsidP="00BB0C20">
      <w:pPr>
        <w:pStyle w:val="a4"/>
        <w:numPr>
          <w:ilvl w:val="0"/>
          <w:numId w:val="1"/>
        </w:numPr>
        <w:spacing w:after="160"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מצאנו לייחד פרק נפרד לאופן התנהלות המערער בדיון בערעור בפנינו. המערער לא שעה להפצרותינו שלא להפריע למהלך הדיון ולא חדל מקריאות ביניים והפרעה בלתי פוסקת למהלך התקין של הדיון. בעיצומו של הדיון ביקש לפטר את בא-כוחו שכן לטענתו, הוא אינו בקיא במכלול העובדות כמותו (אף כי בא כוחו ייצגו כבר בשלהי ההליך בפני בית המשפט קמא). נעתרנו לבקשתו של המערער, תוך שהובהר לו, כי משמעו של דבר כי ייצג את עצמו בהליך והמערער ניאות לכך. </w:t>
      </w:r>
    </w:p>
    <w:p w:rsidR="00BB0C20" w:rsidRDefault="00BB0C20" w:rsidP="00BB0C20">
      <w:pPr>
        <w:pStyle w:val="a4"/>
        <w:spacing w:after="160" w:line="360" w:lineRule="auto"/>
        <w:ind w:left="0"/>
        <w:jc w:val="both"/>
        <w:rPr>
          <w:rFonts w:ascii="Narkisim" w:hAnsi="Narkisim" w:cs="Narkisim"/>
          <w:noProof w:val="0"/>
          <w:sz w:val="28"/>
          <w:szCs w:val="28"/>
        </w:rPr>
      </w:pPr>
    </w:p>
    <w:p w:rsidR="00BB0C20" w:rsidRDefault="00BB0C20" w:rsidP="00BB0C20">
      <w:pPr>
        <w:pStyle w:val="a4"/>
        <w:numPr>
          <w:ilvl w:val="0"/>
          <w:numId w:val="1"/>
        </w:numPr>
        <w:spacing w:after="160" w:line="360" w:lineRule="auto"/>
        <w:ind w:left="0" w:firstLine="0"/>
        <w:jc w:val="both"/>
        <w:rPr>
          <w:rFonts w:ascii="Narkisim" w:hAnsi="Narkisim" w:cs="Narkisim"/>
          <w:noProof w:val="0"/>
          <w:sz w:val="28"/>
          <w:szCs w:val="28"/>
        </w:rPr>
      </w:pPr>
      <w:r>
        <w:rPr>
          <w:rFonts w:ascii="Narkisim" w:hAnsi="Narkisim" w:cs="Narkisim"/>
          <w:noProof w:val="0"/>
          <w:sz w:val="28"/>
          <w:szCs w:val="28"/>
          <w:rtl/>
        </w:rPr>
        <w:t xml:space="preserve">במהלך הדיון מיקד המערער טיעונו בזכות ראשונים, שלטענתו עומדת  לו ביחס לשאר בעלי הזכויות בנכס בחדרה. לטענתו, קיימת זכות ראשונים מכוח הדין וכן זכות מכוח מערכת היחסים העסקית בין הצדדים. משנשאל המערער היכן מופיעה טענתו זו בהליך בפני בית המשפט קמא, הפנה לכתב הגנתו, ולאחר שעיון בכתב ההגנה העלה כי הטענה אינה מופיעה שם, ציין כי הטענה מופיעה במקומות אחרים, אך לא הציג מסמך במסגרתו הועלתה הטענה. </w:t>
      </w:r>
    </w:p>
    <w:p w:rsidR="00BB0C20" w:rsidRDefault="00BB0C20" w:rsidP="00BB0C20">
      <w:pPr>
        <w:pStyle w:val="a4"/>
        <w:spacing w:after="160" w:line="360" w:lineRule="auto"/>
        <w:ind w:left="0"/>
        <w:jc w:val="both"/>
        <w:rPr>
          <w:rFonts w:ascii="Narkisim" w:hAnsi="Narkisim" w:cs="Narkisim"/>
          <w:noProof w:val="0"/>
          <w:sz w:val="28"/>
          <w:szCs w:val="28"/>
          <w:rtl/>
        </w:rPr>
      </w:pPr>
    </w:p>
    <w:p w:rsidR="00BB0C20" w:rsidRDefault="00BB0C20" w:rsidP="00BB0C20">
      <w:pPr>
        <w:pStyle w:val="a4"/>
        <w:spacing w:after="160" w:line="360" w:lineRule="auto"/>
        <w:ind w:left="0"/>
        <w:jc w:val="both"/>
        <w:rPr>
          <w:rFonts w:ascii="Narkisim" w:hAnsi="Narkisim" w:cs="Narkisim"/>
          <w:noProof w:val="0"/>
          <w:sz w:val="28"/>
          <w:szCs w:val="28"/>
        </w:rPr>
      </w:pPr>
      <w:r>
        <w:rPr>
          <w:rFonts w:ascii="Narkisim" w:hAnsi="Narkisim" w:cs="Narkisim"/>
          <w:noProof w:val="0"/>
          <w:sz w:val="28"/>
          <w:szCs w:val="28"/>
          <w:rtl/>
        </w:rPr>
        <w:t xml:space="preserve">כך או כך, גם לבקשת ההרכב להציג מסמך המלמד על זכות ראשונים הקיימת לו, לא הצליח להציגו. </w:t>
      </w:r>
    </w:p>
    <w:p w:rsidR="00BB0C20" w:rsidRDefault="00BB0C20" w:rsidP="00BB0C20">
      <w:pPr>
        <w:pStyle w:val="a4"/>
        <w:spacing w:after="160" w:line="360" w:lineRule="auto"/>
        <w:ind w:left="0"/>
        <w:jc w:val="both"/>
        <w:rPr>
          <w:rFonts w:ascii="Narkisim" w:hAnsi="Narkisim" w:cs="Narkisim"/>
          <w:noProof w:val="0"/>
          <w:sz w:val="28"/>
          <w:szCs w:val="28"/>
        </w:rPr>
      </w:pPr>
    </w:p>
    <w:p w:rsidR="00BB0C20" w:rsidRDefault="00BB0C20" w:rsidP="00BB0C20">
      <w:pPr>
        <w:pStyle w:val="a4"/>
        <w:numPr>
          <w:ilvl w:val="0"/>
          <w:numId w:val="1"/>
        </w:numPr>
        <w:spacing w:after="160" w:line="360" w:lineRule="auto"/>
        <w:ind w:left="0" w:firstLine="0"/>
        <w:jc w:val="both"/>
        <w:rPr>
          <w:rFonts w:ascii="Narkisim" w:hAnsi="Narkisim" w:cs="Narkisim"/>
          <w:noProof w:val="0"/>
          <w:sz w:val="28"/>
          <w:szCs w:val="28"/>
        </w:rPr>
      </w:pPr>
      <w:r>
        <w:rPr>
          <w:rFonts w:ascii="Narkisim" w:hAnsi="Narkisim" w:cs="Narkisim"/>
          <w:noProof w:val="0"/>
          <w:sz w:val="28"/>
          <w:szCs w:val="28"/>
          <w:rtl/>
        </w:rPr>
        <w:t>עוד טען המערער כי ערעורו נוגע אף להחלטת בית המשפט הנוגעת לחלקו בנכס בנתניה וביקש להשלים טיעון בעל פה אף לעניין זה. נוכח העובדה כי החלטת בית המשפט מושא ההליך אינה נוגעת לנכס בנתניה וכי לגביו טרם ניתן פסק דין וכלל טענות הצדדים ביחס אליו שמורות להם, לא מצאנו ליתן למערער לטעון לעניין זה ואף ההכרעה כאן לא תתייחס לנכס זה, זאת במיוחד עת צוין מפורשות בסעיף 7 לכתב הערעור – "הנכס נשוא ערעור זה הוא נכס בחדרה".</w:t>
      </w:r>
    </w:p>
    <w:p w:rsidR="00BB0C20" w:rsidRDefault="00BB0C20" w:rsidP="00BB0C20">
      <w:pPr>
        <w:pStyle w:val="a4"/>
        <w:spacing w:after="160" w:line="360" w:lineRule="auto"/>
        <w:ind w:left="0"/>
        <w:jc w:val="both"/>
        <w:rPr>
          <w:rFonts w:ascii="Narkisim" w:hAnsi="Narkisim" w:cs="Narkisim"/>
          <w:noProof w:val="0"/>
          <w:sz w:val="28"/>
          <w:szCs w:val="28"/>
        </w:rPr>
      </w:pPr>
    </w:p>
    <w:p w:rsidR="00BB0C20" w:rsidRDefault="00BB0C20" w:rsidP="00BB0C20">
      <w:pPr>
        <w:pStyle w:val="a4"/>
        <w:numPr>
          <w:ilvl w:val="0"/>
          <w:numId w:val="1"/>
        </w:numPr>
        <w:spacing w:after="160" w:line="360" w:lineRule="auto"/>
        <w:ind w:left="0" w:firstLine="0"/>
        <w:jc w:val="both"/>
        <w:rPr>
          <w:rFonts w:ascii="Narkisim" w:hAnsi="Narkisim" w:cs="Narkisim"/>
          <w:noProof w:val="0"/>
          <w:sz w:val="28"/>
          <w:szCs w:val="28"/>
        </w:rPr>
      </w:pPr>
      <w:r>
        <w:rPr>
          <w:rFonts w:ascii="Narkisim" w:hAnsi="Narkisim" w:cs="Narkisim"/>
          <w:noProof w:val="0"/>
          <w:sz w:val="28"/>
          <w:szCs w:val="28"/>
          <w:rtl/>
        </w:rPr>
        <w:t>המשיבים חזרו על טענותיהם כפי שהובאו בתשובותיהם.</w:t>
      </w:r>
    </w:p>
    <w:p w:rsidR="00BB0C20" w:rsidRDefault="00BB0C20" w:rsidP="00BB0C20">
      <w:pPr>
        <w:pStyle w:val="a4"/>
        <w:spacing w:after="160" w:line="360" w:lineRule="auto"/>
        <w:ind w:left="0"/>
        <w:jc w:val="both"/>
        <w:rPr>
          <w:rFonts w:ascii="Narkisim" w:hAnsi="Narkisim" w:cs="Narkisim"/>
          <w:sz w:val="28"/>
          <w:szCs w:val="28"/>
          <w:rtl/>
        </w:rPr>
      </w:pPr>
    </w:p>
    <w:p w:rsidR="00BB0C20" w:rsidRDefault="00BB0C20" w:rsidP="00BB0C20">
      <w:pPr>
        <w:pStyle w:val="a4"/>
        <w:spacing w:line="360" w:lineRule="auto"/>
        <w:ind w:left="3600"/>
        <w:jc w:val="both"/>
        <w:rPr>
          <w:rFonts w:ascii="Narkisim" w:hAnsi="Narkisim" w:cs="Narkisim"/>
          <w:sz w:val="28"/>
          <w:szCs w:val="28"/>
          <w:rtl/>
        </w:rPr>
      </w:pPr>
      <w:r>
        <w:rPr>
          <w:rFonts w:ascii="Narkisim" w:hAnsi="Narkisim" w:cs="Narkisim"/>
          <w:sz w:val="28"/>
          <w:szCs w:val="28"/>
          <w:rtl/>
        </w:rPr>
        <w:lastRenderedPageBreak/>
        <w:t>****</w:t>
      </w:r>
    </w:p>
    <w:p w:rsidR="00BB0C20" w:rsidRDefault="00BB0C20" w:rsidP="00BB0C20">
      <w:pPr>
        <w:spacing w:line="360" w:lineRule="auto"/>
        <w:jc w:val="both"/>
        <w:rPr>
          <w:rFonts w:ascii="Narkisim" w:hAnsi="Narkisim" w:cs="Narkisim"/>
          <w:sz w:val="28"/>
          <w:szCs w:val="28"/>
        </w:rPr>
      </w:pPr>
      <w:r>
        <w:rPr>
          <w:rFonts w:ascii="Narkisim" w:hAnsi="Narkisim" w:cs="Narkisim"/>
          <w:sz w:val="28"/>
          <w:szCs w:val="28"/>
          <w:rtl/>
        </w:rPr>
        <w:t>אחר שעיינו בטענות הצדדים והוספנו ושמענו טיעון ארוך בעל פה</w:t>
      </w:r>
      <w:r>
        <w:rPr>
          <w:rFonts w:ascii="Narkisim" w:hAnsi="Narkisim" w:cs="Narkisim" w:hint="cs"/>
          <w:sz w:val="28"/>
          <w:szCs w:val="28"/>
          <w:rtl/>
        </w:rPr>
        <w:t>, כאמור,</w:t>
      </w:r>
      <w:r>
        <w:rPr>
          <w:rFonts w:ascii="Narkisim" w:hAnsi="Narkisim" w:cs="Narkisim"/>
          <w:sz w:val="28"/>
          <w:szCs w:val="28"/>
          <w:rtl/>
        </w:rPr>
        <w:t xml:space="preserve"> מצאנו כי דין הערעור להדחות.  </w:t>
      </w:r>
    </w:p>
    <w:p w:rsidR="00BB0C20" w:rsidRDefault="00BB0C20" w:rsidP="00BB0C20">
      <w:pPr>
        <w:spacing w:line="360" w:lineRule="auto"/>
        <w:jc w:val="both"/>
        <w:rPr>
          <w:rFonts w:ascii="Narkisim" w:hAnsi="Narkisim" w:cs="Narkisim"/>
          <w:sz w:val="28"/>
          <w:szCs w:val="28"/>
          <w:rtl/>
        </w:rPr>
      </w:pPr>
    </w:p>
    <w:p w:rsidR="00BB0C20" w:rsidRDefault="00BB0C20" w:rsidP="00BB0C20">
      <w:pPr>
        <w:pStyle w:val="a4"/>
        <w:numPr>
          <w:ilvl w:val="0"/>
          <w:numId w:val="1"/>
        </w:numPr>
        <w:spacing w:after="160" w:line="360" w:lineRule="auto"/>
        <w:ind w:left="0" w:firstLine="0"/>
        <w:jc w:val="both"/>
        <w:rPr>
          <w:rFonts w:ascii="Narkisim" w:hAnsi="Narkisim" w:cs="Narkisim"/>
          <w:color w:val="000000"/>
          <w:sz w:val="28"/>
          <w:szCs w:val="28"/>
          <w:shd w:val="clear" w:color="auto" w:fill="FFFFFF"/>
          <w:rtl/>
        </w:rPr>
      </w:pPr>
      <w:r>
        <w:rPr>
          <w:rFonts w:ascii="Narkisim" w:hAnsi="Narkisim" w:cs="Narkisim"/>
          <w:color w:val="000000"/>
          <w:sz w:val="28"/>
          <w:szCs w:val="28"/>
          <w:shd w:val="clear" w:color="auto" w:fill="FFFFFF"/>
          <w:rtl/>
        </w:rPr>
        <w:t>אכן, מלכתחילה הגישה המשיבה תביעה לפירוק השיתוף, אך נוכחה לדעת, כך לתפיסתה שלה, כי ההליכים מתארכים הרבה מעבר ל</w:t>
      </w:r>
      <w:r>
        <w:rPr>
          <w:rFonts w:ascii="Narkisim" w:hAnsi="Narkisim" w:cs="Narkisim" w:hint="cs"/>
          <w:color w:val="000000"/>
          <w:sz w:val="28"/>
          <w:szCs w:val="28"/>
          <w:shd w:val="clear" w:color="auto" w:fill="FFFFFF"/>
          <w:rtl/>
        </w:rPr>
        <w:t xml:space="preserve">ציפיותיה, </w:t>
      </w:r>
      <w:r>
        <w:rPr>
          <w:rFonts w:ascii="Narkisim" w:hAnsi="Narkisim" w:cs="Narkisim"/>
          <w:color w:val="000000"/>
          <w:sz w:val="28"/>
          <w:szCs w:val="28"/>
          <w:shd w:val="clear" w:color="auto" w:fill="FFFFFF"/>
          <w:rtl/>
        </w:rPr>
        <w:t xml:space="preserve">משכך החליטה  למכור את זכויותיה שלה </w:t>
      </w:r>
      <w:r>
        <w:rPr>
          <w:rFonts w:ascii="Narkisim" w:hAnsi="Narkisim" w:cs="Narkisim" w:hint="cs"/>
          <w:color w:val="000000"/>
          <w:sz w:val="28"/>
          <w:szCs w:val="28"/>
          <w:shd w:val="clear" w:color="auto" w:fill="FFFFFF"/>
          <w:rtl/>
        </w:rPr>
        <w:t xml:space="preserve">בנכס בחדרה </w:t>
      </w:r>
      <w:r>
        <w:rPr>
          <w:rFonts w:ascii="Narkisim" w:hAnsi="Narkisim" w:cs="Narkisim"/>
          <w:color w:val="000000"/>
          <w:sz w:val="28"/>
          <w:szCs w:val="28"/>
          <w:shd w:val="clear" w:color="auto" w:fill="FFFFFF"/>
          <w:rtl/>
        </w:rPr>
        <w:t>לאחר. המשיבה עשתה כן לאחר שהודיעה על כוונתה זו טרם</w:t>
      </w:r>
      <w:r>
        <w:rPr>
          <w:rFonts w:ascii="Narkisim" w:hAnsi="Narkisim" w:cs="Narkisim" w:hint="cs"/>
          <w:color w:val="000000"/>
          <w:sz w:val="28"/>
          <w:szCs w:val="28"/>
          <w:shd w:val="clear" w:color="auto" w:fill="FFFFFF"/>
          <w:rtl/>
        </w:rPr>
        <w:t xml:space="preserve"> שחתמה </w:t>
      </w:r>
      <w:r>
        <w:rPr>
          <w:rFonts w:ascii="Narkisim" w:hAnsi="Narkisim" w:cs="Narkisim"/>
          <w:color w:val="000000"/>
          <w:sz w:val="28"/>
          <w:szCs w:val="28"/>
          <w:shd w:val="clear" w:color="auto" w:fill="FFFFFF"/>
          <w:rtl/>
        </w:rPr>
        <w:t>על הסכם המכר</w:t>
      </w:r>
      <w:r>
        <w:rPr>
          <w:rFonts w:ascii="Narkisim" w:hAnsi="Narkisim" w:cs="Narkisim" w:hint="cs"/>
          <w:color w:val="000000"/>
          <w:sz w:val="28"/>
          <w:szCs w:val="28"/>
          <w:shd w:val="clear" w:color="auto" w:fill="FFFFFF"/>
          <w:rtl/>
        </w:rPr>
        <w:t xml:space="preserve">, מכל מקום </w:t>
      </w:r>
      <w:r>
        <w:rPr>
          <w:rFonts w:ascii="Narkisim" w:hAnsi="Narkisim" w:cs="Narkisim"/>
          <w:color w:val="000000"/>
          <w:sz w:val="28"/>
          <w:szCs w:val="28"/>
          <w:shd w:val="clear" w:color="auto" w:fill="FFFFFF"/>
          <w:rtl/>
        </w:rPr>
        <w:t>–</w:t>
      </w:r>
      <w:r>
        <w:rPr>
          <w:rFonts w:ascii="Narkisim" w:hAnsi="Narkisim" w:cs="Narkisim" w:hint="cs"/>
          <w:color w:val="000000"/>
          <w:sz w:val="28"/>
          <w:szCs w:val="28"/>
          <w:shd w:val="clear" w:color="auto" w:fill="FFFFFF"/>
          <w:rtl/>
        </w:rPr>
        <w:t xml:space="preserve"> המכר בוצע והושלם </w:t>
      </w:r>
      <w:r>
        <w:rPr>
          <w:rFonts w:ascii="Narkisim" w:hAnsi="Narkisim" w:cs="Narkisim"/>
          <w:color w:val="000000"/>
          <w:sz w:val="28"/>
          <w:szCs w:val="28"/>
          <w:shd w:val="clear" w:color="auto" w:fill="FFFFFF"/>
          <w:rtl/>
        </w:rPr>
        <w:t xml:space="preserve">ברישום (כך על פי תשובתה לערעור). </w:t>
      </w:r>
    </w:p>
    <w:p w:rsidR="00BB0C20" w:rsidRDefault="00BB0C20" w:rsidP="00BB0C20">
      <w:pPr>
        <w:pStyle w:val="a4"/>
        <w:spacing w:after="160" w:line="360" w:lineRule="auto"/>
        <w:ind w:left="0"/>
        <w:jc w:val="both"/>
        <w:rPr>
          <w:rFonts w:ascii="Narkisim" w:hAnsi="Narkisim" w:cs="Narkisim"/>
          <w:color w:val="000000"/>
          <w:sz w:val="28"/>
          <w:szCs w:val="28"/>
          <w:shd w:val="clear" w:color="auto" w:fill="FFFFFF"/>
        </w:rPr>
      </w:pPr>
    </w:p>
    <w:p w:rsidR="00BB0C20" w:rsidRDefault="00BB0C20" w:rsidP="00BB0C20">
      <w:pPr>
        <w:pStyle w:val="a4"/>
        <w:numPr>
          <w:ilvl w:val="0"/>
          <w:numId w:val="1"/>
        </w:numPr>
        <w:spacing w:after="160" w:line="360" w:lineRule="auto"/>
        <w:ind w:left="0" w:firstLine="0"/>
        <w:jc w:val="both"/>
        <w:rPr>
          <w:rFonts w:ascii="Narkisim" w:hAnsi="Narkisim" w:cs="Narkisim"/>
          <w:color w:val="000000"/>
          <w:sz w:val="28"/>
          <w:szCs w:val="28"/>
          <w:shd w:val="clear" w:color="auto" w:fill="FFFFFF"/>
          <w:rtl/>
        </w:rPr>
      </w:pPr>
      <w:r>
        <w:rPr>
          <w:rFonts w:ascii="Narkisim" w:hAnsi="Narkisim" w:cs="Narkisim"/>
          <w:sz w:val="28"/>
          <w:szCs w:val="28"/>
          <w:rtl/>
        </w:rPr>
        <w:t xml:space="preserve">בדין קבע בית המשפט קמא כי הזכויות בנכס בחדרה הן זכויות במושע, כי המשיבה רשאית היתה לעשות בזכויות אלו כרצונה וללא הסכמת יתר השותפים במקרקעין (וראו סעיף 34 (א) </w:t>
      </w:r>
      <w:r>
        <w:rPr>
          <w:rFonts w:ascii="Miriam" w:hAnsi="Miriam" w:cs="Miriam"/>
          <w:rtl/>
        </w:rPr>
        <w:t>לחוק המקרקעין</w:t>
      </w:r>
      <w:r>
        <w:rPr>
          <w:rFonts w:ascii="Narkisim" w:hAnsi="Narkisim" w:cs="Narkisim"/>
          <w:sz w:val="28"/>
          <w:szCs w:val="28"/>
          <w:rtl/>
        </w:rPr>
        <w:t xml:space="preserve"> תשכ"ט – 1969).</w:t>
      </w:r>
    </w:p>
    <w:p w:rsidR="00BB0C20" w:rsidRDefault="00BB0C20" w:rsidP="00BB0C20">
      <w:pPr>
        <w:pStyle w:val="a4"/>
        <w:rPr>
          <w:rFonts w:ascii="Narkisim" w:hAnsi="Narkisim" w:cs="Narkisim"/>
          <w:sz w:val="28"/>
          <w:szCs w:val="28"/>
        </w:rPr>
      </w:pPr>
    </w:p>
    <w:p w:rsidR="00BB0C20" w:rsidRDefault="00BB0C20" w:rsidP="00BB0C20">
      <w:pPr>
        <w:pStyle w:val="a4"/>
        <w:spacing w:after="160" w:line="360" w:lineRule="auto"/>
        <w:ind w:left="0"/>
        <w:jc w:val="both"/>
        <w:rPr>
          <w:rFonts w:ascii="Narkisim" w:hAnsi="Narkisim" w:cs="Narkisim"/>
          <w:color w:val="000000"/>
          <w:sz w:val="28"/>
          <w:szCs w:val="28"/>
          <w:shd w:val="clear" w:color="auto" w:fill="FFFFFF"/>
          <w:rtl/>
        </w:rPr>
      </w:pPr>
      <w:r>
        <w:rPr>
          <w:rFonts w:ascii="Narkisim" w:hAnsi="Narkisim" w:cs="Narkisim"/>
          <w:sz w:val="28"/>
          <w:szCs w:val="28"/>
          <w:rtl/>
        </w:rPr>
        <w:t xml:space="preserve">יתרה מכך, אילו ביקש המערער לרכוש את זכויותיה של המשיבה, יכול היה לעשות כן למן פתיחת ההליך בחודש ספטמבר 2020 (ואף קודם לכן) ובוודאי יכול היה לפעול על מנת לקדם רכישה כאמור משהודיעה המשיבה בחודש אוגוסט 2022 על כוונתה למכור זכויותיה. המערער לא עשה כן ולא בכדי קבע בית המשפט קמא, כי לא התרשם מכנות הצהרתו בדבר רצונו לרכוש את הנכס בחדרה. </w:t>
      </w:r>
    </w:p>
    <w:p w:rsidR="00BB0C20" w:rsidRDefault="00BB0C20" w:rsidP="00BB0C20">
      <w:pPr>
        <w:pStyle w:val="a4"/>
        <w:spacing w:after="160" w:line="360" w:lineRule="auto"/>
        <w:ind w:left="0"/>
        <w:jc w:val="both"/>
        <w:rPr>
          <w:rFonts w:ascii="Narkisim" w:hAnsi="Narkisim" w:cs="Narkisim"/>
          <w:color w:val="000000"/>
          <w:sz w:val="28"/>
          <w:szCs w:val="28"/>
          <w:shd w:val="clear" w:color="auto" w:fill="FFFFFF"/>
        </w:rPr>
      </w:pPr>
    </w:p>
    <w:p w:rsidR="00BB0C20" w:rsidRDefault="00BB0C20" w:rsidP="00BB0C20">
      <w:pPr>
        <w:pStyle w:val="a4"/>
        <w:spacing w:after="160" w:line="360" w:lineRule="auto"/>
        <w:ind w:left="0"/>
        <w:jc w:val="both"/>
        <w:rPr>
          <w:rFonts w:ascii="Narkisim" w:hAnsi="Narkisim" w:cs="Narkisim"/>
          <w:color w:val="000000"/>
          <w:sz w:val="28"/>
          <w:szCs w:val="28"/>
          <w:shd w:val="clear" w:color="auto" w:fill="FFFFFF"/>
        </w:rPr>
      </w:pPr>
      <w:r>
        <w:rPr>
          <w:rFonts w:ascii="Narkisim" w:hAnsi="Narkisim" w:cs="Narkisim"/>
          <w:sz w:val="28"/>
          <w:szCs w:val="28"/>
          <w:rtl/>
        </w:rPr>
        <w:lastRenderedPageBreak/>
        <w:t xml:space="preserve">כך או כך, רצונו של המערער, ככל שקיים, לרכוש את הנכס אינו עולה לכדי זכות ראשונים או זכות קדימה, וטענותיו בענין זה, לבד מהעובדה כי נטענו לראשונה בערעור, לא גובו במסמך או בראיה כל שהיא. </w:t>
      </w:r>
    </w:p>
    <w:p w:rsidR="00BB0C20" w:rsidRDefault="00BB0C20" w:rsidP="00BB0C20">
      <w:pPr>
        <w:pStyle w:val="a4"/>
        <w:spacing w:after="160" w:line="360" w:lineRule="auto"/>
        <w:ind w:left="0"/>
        <w:jc w:val="both"/>
        <w:rPr>
          <w:rFonts w:ascii="Narkisim" w:hAnsi="Narkisim" w:cs="Narkisim"/>
          <w:color w:val="000000"/>
          <w:sz w:val="28"/>
          <w:szCs w:val="28"/>
          <w:shd w:val="clear" w:color="auto" w:fill="FFFFFF"/>
        </w:rPr>
      </w:pPr>
    </w:p>
    <w:p w:rsidR="00BB0C20" w:rsidRDefault="00BB0C20" w:rsidP="00BB0C20">
      <w:pPr>
        <w:pStyle w:val="a4"/>
        <w:numPr>
          <w:ilvl w:val="0"/>
          <w:numId w:val="1"/>
        </w:numPr>
        <w:spacing w:after="160" w:line="360" w:lineRule="auto"/>
        <w:ind w:left="0" w:firstLine="0"/>
        <w:jc w:val="both"/>
        <w:rPr>
          <w:rFonts w:ascii="Narkisim" w:hAnsi="Narkisim" w:cs="Narkisim"/>
          <w:color w:val="000000"/>
          <w:sz w:val="28"/>
          <w:szCs w:val="28"/>
          <w:shd w:val="clear" w:color="auto" w:fill="FFFFFF"/>
        </w:rPr>
      </w:pPr>
      <w:r>
        <w:rPr>
          <w:rFonts w:ascii="Narkisim" w:hAnsi="Narkisim" w:cs="Narkisim"/>
          <w:sz w:val="28"/>
          <w:szCs w:val="28"/>
          <w:rtl/>
        </w:rPr>
        <w:t xml:space="preserve">שימת ליבו של המערער הופנתה במהלך הדיון אף למפורט בסעיף 25 לכתב הגנתו, במסגרתו טען כי הוא עותר לפירוק השיתוף במקרקעין (ולא לרכישת זכויותיה של המשיבה). המערער טען, אמנם, כי אמירה זו התייחסה לנכס בנתניה, ברם, לא עולה מכתב ההגנה כל הפרדה בין שני הנכסים, או התנהלות שונה שמבקש הוא להחיל ביחס לכל אחד מהם. </w:t>
      </w:r>
    </w:p>
    <w:p w:rsidR="00BB0C20" w:rsidRDefault="00BB0C20" w:rsidP="00BB0C20">
      <w:pPr>
        <w:pStyle w:val="a4"/>
        <w:spacing w:after="160" w:line="360" w:lineRule="auto"/>
        <w:ind w:left="0"/>
        <w:jc w:val="both"/>
        <w:rPr>
          <w:rFonts w:ascii="Narkisim" w:hAnsi="Narkisim" w:cs="Narkisim"/>
          <w:sz w:val="28"/>
          <w:szCs w:val="28"/>
        </w:rPr>
      </w:pPr>
    </w:p>
    <w:p w:rsidR="00BB0C20" w:rsidRDefault="00BB0C20" w:rsidP="00BB0C20">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נוסף על כל האמור – זכויותיה של המשיבה נמכרו לצדדי ג'. לטענת המשיבה הזכויות כבר הושלמו ברישום ומכאן, ענין לנו במעשה עשוי. משמעותם של דברים בשלב זה, היא, כי אם המבקש יחפוץ כעת בפירוק השיתוף במגרש בחדרה בעלי דברו יהיו צדדי ג' ולא המשיבה – הא ותו לא.</w:t>
      </w:r>
    </w:p>
    <w:p w:rsidR="00BB0C20" w:rsidRDefault="00BB0C20" w:rsidP="00BB0C20">
      <w:pPr>
        <w:pStyle w:val="a4"/>
        <w:spacing w:after="160" w:line="360" w:lineRule="auto"/>
        <w:ind w:left="0"/>
        <w:jc w:val="both"/>
        <w:rPr>
          <w:rFonts w:ascii="Narkisim" w:hAnsi="Narkisim" w:cs="Narkisim"/>
          <w:sz w:val="28"/>
          <w:szCs w:val="28"/>
        </w:rPr>
      </w:pPr>
    </w:p>
    <w:p w:rsidR="00BB0C20" w:rsidRDefault="00BB0C20" w:rsidP="00BB0C20">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sz w:val="28"/>
          <w:szCs w:val="28"/>
          <w:rtl/>
        </w:rPr>
        <w:t xml:space="preserve">לאור כל האמור לעיל מצאנו לדחות את הערעור ולחייב את המערער בהוצאות המשיבה 1 בסך של 15,000 ₪, ובהוצאות המשיבים 2-3 ו-4-5 בסך של 10,000 ₪ לכל אחד (10,000 ₪ למשיבים 2-3 ו- 10,000 ₪ למשיבים 4-5). </w:t>
      </w:r>
    </w:p>
    <w:p w:rsidR="00BB0C20" w:rsidRDefault="00BB0C20" w:rsidP="00BB0C20">
      <w:pPr>
        <w:pStyle w:val="a4"/>
        <w:rPr>
          <w:rFonts w:ascii="Narkisim" w:hAnsi="Narkisim" w:cs="Narkisim"/>
          <w:sz w:val="28"/>
          <w:szCs w:val="28"/>
        </w:rPr>
      </w:pPr>
    </w:p>
    <w:p w:rsidR="00BB0C20" w:rsidRDefault="00BB0C20" w:rsidP="00BB0C20">
      <w:pPr>
        <w:pStyle w:val="a4"/>
        <w:numPr>
          <w:ilvl w:val="0"/>
          <w:numId w:val="1"/>
        </w:numPr>
        <w:spacing w:after="160" w:line="360" w:lineRule="auto"/>
        <w:ind w:left="0" w:firstLine="0"/>
        <w:jc w:val="both"/>
        <w:rPr>
          <w:rFonts w:ascii="Narkisim" w:hAnsi="Narkisim" w:cs="Narkisim"/>
          <w:sz w:val="28"/>
          <w:szCs w:val="28"/>
        </w:rPr>
      </w:pPr>
      <w:r>
        <w:rPr>
          <w:rFonts w:ascii="Narkisim" w:hAnsi="Narkisim" w:cs="Narkisim"/>
          <w:sz w:val="28"/>
          <w:szCs w:val="28"/>
          <w:rtl/>
        </w:rPr>
        <w:t xml:space="preserve">הערובה שהופקדה על ידי המערער תועבר למשיבה באמצעות בא כוחה על חשבון הוצאות המשפט.  </w:t>
      </w:r>
    </w:p>
    <w:p w:rsidR="00BB0C20" w:rsidRPr="000A0265" w:rsidRDefault="00BB0C20" w:rsidP="00BB0C20">
      <w:pPr>
        <w:pStyle w:val="a4"/>
        <w:rPr>
          <w:rFonts w:ascii="Narkisim" w:hAnsi="Narkisim" w:cs="Narkisim"/>
          <w:sz w:val="28"/>
          <w:szCs w:val="28"/>
          <w:rtl/>
        </w:rPr>
      </w:pPr>
    </w:p>
    <w:p w:rsidR="00BB0C20" w:rsidRDefault="00BB0C20" w:rsidP="00BB0C20">
      <w:pPr>
        <w:pStyle w:val="a4"/>
        <w:numPr>
          <w:ilvl w:val="0"/>
          <w:numId w:val="1"/>
        </w:numPr>
        <w:spacing w:after="160" w:line="360" w:lineRule="auto"/>
        <w:ind w:left="0" w:firstLine="0"/>
        <w:jc w:val="both"/>
        <w:rPr>
          <w:rFonts w:ascii="Narkisim" w:hAnsi="Narkisim" w:cs="Narkisim"/>
          <w:sz w:val="28"/>
          <w:szCs w:val="28"/>
          <w:rtl/>
        </w:rPr>
      </w:pPr>
      <w:r>
        <w:rPr>
          <w:rFonts w:ascii="Narkisim" w:hAnsi="Narkisim" w:cs="Narkisim" w:hint="cs"/>
          <w:sz w:val="28"/>
          <w:szCs w:val="28"/>
          <w:rtl/>
        </w:rPr>
        <w:t xml:space="preserve">ניתן לפרסום ללא פרטי הצדדים. </w:t>
      </w:r>
    </w:p>
    <w:p w:rsidR="00BB0C20" w:rsidRPr="00C770E3" w:rsidRDefault="00BB0C20" w:rsidP="00BB0C20">
      <w:pPr>
        <w:spacing w:line="360" w:lineRule="auto"/>
        <w:jc w:val="both"/>
        <w:rPr>
          <w:rFonts w:ascii="Arial" w:hAnsi="Arial"/>
          <w:noProof w:val="0"/>
          <w:rtl/>
        </w:rPr>
      </w:pPr>
    </w:p>
    <w:p w:rsidR="00BB0C20" w:rsidRDefault="00BB0C20" w:rsidP="00BB0C20">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יולי 2024</w:t>
          </w:r>
        </w:sdtContent>
      </w:sdt>
      <w:r>
        <w:rPr>
          <w:rFonts w:ascii="Arial" w:hAnsi="Arial"/>
          <w:noProof w:val="0"/>
          <w:rtl/>
        </w:rPr>
        <w:t>, בהעדר הצדדים.</w:t>
      </w:r>
    </w:p>
    <w:p w:rsidR="00BB0C20" w:rsidRDefault="00C12BFD" w:rsidP="00BB0C20">
      <w:pPr>
        <w:tabs>
          <w:tab w:val="left" w:pos="2553"/>
        </w:tabs>
        <w:ind w:left="5040"/>
        <w:rPr>
          <w:rtl/>
        </w:rPr>
      </w:pPr>
      <w:sdt>
        <w:sdtPr>
          <w:rPr>
            <w:rFonts w:hint="cs"/>
            <w:rtl/>
          </w:rPr>
          <w:alias w:val="2045"/>
          <w:tag w:val="2045"/>
          <w:id w:val="740689340"/>
          <w:placeholder>
            <w:docPart w:val="88377234566A47EABB52EDC16450DEC0"/>
          </w:placeholder>
          <w:showingPlcHdr/>
          <w:text w:multiLine="1"/>
        </w:sdtPr>
        <w:sdtEndPr/>
        <w:sdtContent>
          <w:r w:rsidR="00BB0C20">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BB0C20" w:rsidTr="00FF04BC">
        <w:tc>
          <w:tcPr>
            <w:tcW w:w="2891" w:type="dxa"/>
            <w:vAlign w:val="center"/>
            <w:hideMark/>
          </w:tcPr>
          <w:sdt>
            <w:sdtPr>
              <w:rPr>
                <w:rFonts w:cs="Times New Roman"/>
                <w:rtl/>
              </w:rPr>
              <w:alias w:val="MergeField"/>
              <w:tag w:val="2250"/>
              <w:id w:val="1956058474"/>
            </w:sdtPr>
            <w:sdtEndPr/>
            <w:sdtContent>
              <w:p w:rsidR="00BB0C20" w:rsidRDefault="00BB0C20" w:rsidP="00FF04BC">
                <w:pPr>
                  <w:jc w:val="center"/>
                  <w:rPr>
                    <w:rFonts w:cs="Times New Roman"/>
                    <w:noProof w:val="0"/>
                  </w:rPr>
                </w:pPr>
                <w:r>
                  <w:drawing>
                    <wp:inline distT="0" distB="0" distL="0" distR="0" wp14:anchorId="25A5751E" wp14:editId="578AC1FC">
                      <wp:extent cx="955964" cy="45720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5534" cy="461777"/>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725679298"/>
            </w:sdtPr>
            <w:sdtEndPr/>
            <w:sdtContent>
              <w:p w:rsidR="00BB0C20" w:rsidRDefault="00BB0C20" w:rsidP="00FF04BC">
                <w:pPr>
                  <w:jc w:val="center"/>
                </w:pPr>
                <w:r>
                  <w:drawing>
                    <wp:inline distT="0" distB="0" distL="0" distR="0" wp14:anchorId="0140C255" wp14:editId="2C6BEBEE">
                      <wp:extent cx="952500" cy="5588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55880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520925469"/>
            </w:sdtPr>
            <w:sdtEndPr/>
            <w:sdtContent>
              <w:p w:rsidR="00BB0C20" w:rsidRDefault="00BB0C20" w:rsidP="00FF04BC">
                <w:pPr>
                  <w:jc w:val="center"/>
                </w:pPr>
                <w:r>
                  <w:drawing>
                    <wp:inline distT="0" distB="0" distL="0" distR="0" wp14:anchorId="4346D404" wp14:editId="0F407888">
                      <wp:extent cx="1028700" cy="247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247650"/>
                              </a:xfrm>
                              <a:prstGeom prst="rect">
                                <a:avLst/>
                              </a:prstGeom>
                              <a:noFill/>
                              <a:ln>
                                <a:noFill/>
                              </a:ln>
                            </pic:spPr>
                          </pic:pic>
                        </a:graphicData>
                      </a:graphic>
                    </wp:inline>
                  </w:drawing>
                </w:r>
              </w:p>
            </w:sdtContent>
          </w:sdt>
        </w:tc>
      </w:tr>
      <w:tr w:rsidR="00BB0C20" w:rsidTr="00FF04BC">
        <w:tc>
          <w:tcPr>
            <w:tcW w:w="2891" w:type="dxa"/>
            <w:vAlign w:val="center"/>
            <w:hideMark/>
          </w:tcPr>
          <w:p w:rsidR="00BB0C20" w:rsidRDefault="00C12BFD" w:rsidP="00FF04BC">
            <w:pPr>
              <w:spacing w:line="360" w:lineRule="auto"/>
              <w:jc w:val="center"/>
              <w:rPr>
                <w:rFonts w:ascii="David" w:hAnsi="David"/>
                <w:b/>
                <w:bCs/>
              </w:rPr>
            </w:pPr>
            <w:sdt>
              <w:sdtPr>
                <w:rPr>
                  <w:b/>
                  <w:bCs/>
                  <w:rtl/>
                </w:rPr>
                <w:alias w:val="2235"/>
                <w:tag w:val="2235"/>
                <w:id w:val="1100069598"/>
              </w:sdtPr>
              <w:sdtEndPr/>
              <w:sdtContent>
                <w:r w:rsidR="00BB0C20">
                  <w:rPr>
                    <w:rFonts w:ascii="David" w:hAnsi="David"/>
                    <w:b/>
                    <w:bCs/>
                    <w:rtl/>
                  </w:rPr>
                  <w:t>צבי</w:t>
                </w:r>
              </w:sdtContent>
            </w:sdt>
            <w:r w:rsidR="00BB0C20">
              <w:rPr>
                <w:rFonts w:hint="cs"/>
                <w:b/>
                <w:bCs/>
                <w:rtl/>
              </w:rPr>
              <w:t xml:space="preserve">  </w:t>
            </w:r>
            <w:sdt>
              <w:sdtPr>
                <w:rPr>
                  <w:rFonts w:cs="Times New Roman"/>
                  <w:b/>
                  <w:bCs/>
                  <w:rtl/>
                </w:rPr>
                <w:alias w:val="2240"/>
                <w:tag w:val="2240"/>
                <w:id w:val="825638415"/>
              </w:sdtPr>
              <w:sdtEndPr/>
              <w:sdtContent>
                <w:r w:rsidR="00BB0C20">
                  <w:rPr>
                    <w:b/>
                    <w:bCs/>
                    <w:rtl/>
                  </w:rPr>
                  <w:t>ויצמן</w:t>
                </w:r>
              </w:sdtContent>
            </w:sdt>
            <w:r w:rsidR="00BB0C20">
              <w:rPr>
                <w:rFonts w:hint="cs"/>
                <w:b/>
                <w:bCs/>
                <w:rtl/>
              </w:rPr>
              <w:t xml:space="preserve">, </w:t>
            </w:r>
            <w:sdt>
              <w:sdtPr>
                <w:rPr>
                  <w:rFonts w:cs="Times New Roman"/>
                  <w:b/>
                  <w:bCs/>
                  <w:rtl/>
                </w:rPr>
                <w:alias w:val="2245"/>
                <w:tag w:val="2245"/>
                <w:id w:val="533847746"/>
              </w:sdtPr>
              <w:sdtEndPr/>
              <w:sdtContent>
                <w:r w:rsidR="00BB0C20">
                  <w:rPr>
                    <w:b/>
                    <w:bCs/>
                    <w:rtl/>
                  </w:rPr>
                  <w:t>שופט</w:t>
                </w:r>
                <w:r w:rsidR="00BB0C20">
                  <w:rPr>
                    <w:rFonts w:hint="cs"/>
                    <w:b/>
                    <w:bCs/>
                    <w:rtl/>
                  </w:rPr>
                  <w:t>, אב"ד</w:t>
                </w:r>
              </w:sdtContent>
            </w:sdt>
          </w:p>
        </w:tc>
        <w:tc>
          <w:tcPr>
            <w:tcW w:w="2891" w:type="dxa"/>
            <w:vAlign w:val="center"/>
            <w:hideMark/>
          </w:tcPr>
          <w:p w:rsidR="00BB0C20" w:rsidRDefault="00C12BFD" w:rsidP="00FF04BC">
            <w:pPr>
              <w:spacing w:line="360" w:lineRule="auto"/>
              <w:jc w:val="center"/>
              <w:rPr>
                <w:rFonts w:ascii="David" w:hAnsi="David"/>
                <w:b/>
                <w:bCs/>
                <w:rtl/>
              </w:rPr>
            </w:pPr>
            <w:sdt>
              <w:sdtPr>
                <w:rPr>
                  <w:b/>
                  <w:bCs/>
                  <w:rtl/>
                </w:rPr>
                <w:alias w:val="2236"/>
                <w:tag w:val="2236"/>
                <w:id w:val="639300144"/>
              </w:sdtPr>
              <w:sdtEndPr/>
              <w:sdtContent>
                <w:r w:rsidR="00BB0C20">
                  <w:rPr>
                    <w:rFonts w:ascii="David" w:hAnsi="David"/>
                    <w:b/>
                    <w:bCs/>
                    <w:rtl/>
                  </w:rPr>
                  <w:t>יעל</w:t>
                </w:r>
              </w:sdtContent>
            </w:sdt>
            <w:r w:rsidR="00BB0C20">
              <w:rPr>
                <w:rFonts w:hint="cs"/>
                <w:b/>
                <w:bCs/>
                <w:rtl/>
              </w:rPr>
              <w:t xml:space="preserve"> </w:t>
            </w:r>
            <w:sdt>
              <w:sdtPr>
                <w:rPr>
                  <w:rFonts w:cs="Times New Roman"/>
                  <w:b/>
                  <w:bCs/>
                  <w:rtl/>
                </w:rPr>
                <w:alias w:val="2241"/>
                <w:tag w:val="2241"/>
                <w:id w:val="-2097088705"/>
              </w:sdtPr>
              <w:sdtEndPr/>
              <w:sdtContent>
                <w:r w:rsidR="00BB0C20">
                  <w:rPr>
                    <w:b/>
                    <w:bCs/>
                    <w:rtl/>
                  </w:rPr>
                  <w:t>מושקוביץ</w:t>
                </w:r>
              </w:sdtContent>
            </w:sdt>
            <w:r w:rsidR="00BB0C20">
              <w:rPr>
                <w:rFonts w:hint="cs"/>
                <w:b/>
                <w:bCs/>
                <w:rtl/>
              </w:rPr>
              <w:t xml:space="preserve">, </w:t>
            </w:r>
            <w:sdt>
              <w:sdtPr>
                <w:rPr>
                  <w:rFonts w:cs="Times New Roman"/>
                  <w:b/>
                  <w:bCs/>
                  <w:rtl/>
                </w:rPr>
                <w:alias w:val="2246"/>
                <w:tag w:val="2246"/>
                <w:id w:val="-1989393221"/>
              </w:sdtPr>
              <w:sdtEndPr/>
              <w:sdtContent>
                <w:r w:rsidR="00BB0C20">
                  <w:rPr>
                    <w:b/>
                    <w:bCs/>
                    <w:rtl/>
                  </w:rPr>
                  <w:t>שופטת</w:t>
                </w:r>
              </w:sdtContent>
            </w:sdt>
          </w:p>
        </w:tc>
        <w:tc>
          <w:tcPr>
            <w:tcW w:w="2891" w:type="dxa"/>
            <w:vAlign w:val="center"/>
            <w:hideMark/>
          </w:tcPr>
          <w:p w:rsidR="00BB0C20" w:rsidRDefault="00C12BFD" w:rsidP="00FF04BC">
            <w:pPr>
              <w:spacing w:line="360" w:lineRule="auto"/>
              <w:jc w:val="center"/>
              <w:rPr>
                <w:rFonts w:ascii="David" w:hAnsi="David"/>
                <w:b/>
                <w:bCs/>
                <w:rtl/>
              </w:rPr>
            </w:pPr>
            <w:sdt>
              <w:sdtPr>
                <w:rPr>
                  <w:b/>
                  <w:bCs/>
                  <w:rtl/>
                </w:rPr>
                <w:alias w:val="2237"/>
                <w:tag w:val="2237"/>
                <w:id w:val="-31890643"/>
              </w:sdtPr>
              <w:sdtEndPr/>
              <w:sdtContent>
                <w:r w:rsidR="00BB0C20">
                  <w:rPr>
                    <w:rFonts w:ascii="David" w:hAnsi="David"/>
                    <w:b/>
                    <w:bCs/>
                    <w:rtl/>
                  </w:rPr>
                  <w:t>צבייה</w:t>
                </w:r>
              </w:sdtContent>
            </w:sdt>
            <w:r w:rsidR="00BB0C20">
              <w:rPr>
                <w:rFonts w:hint="cs"/>
                <w:b/>
                <w:bCs/>
                <w:rtl/>
              </w:rPr>
              <w:t xml:space="preserve"> </w:t>
            </w:r>
            <w:sdt>
              <w:sdtPr>
                <w:rPr>
                  <w:rFonts w:cs="Times New Roman"/>
                  <w:b/>
                  <w:bCs/>
                  <w:rtl/>
                </w:rPr>
                <w:alias w:val="2242"/>
                <w:tag w:val="2242"/>
                <w:id w:val="358854881"/>
              </w:sdtPr>
              <w:sdtEndPr/>
              <w:sdtContent>
                <w:r w:rsidR="00BB0C20">
                  <w:rPr>
                    <w:b/>
                    <w:bCs/>
                    <w:rtl/>
                  </w:rPr>
                  <w:t>גרדשטיין פפקין</w:t>
                </w:r>
              </w:sdtContent>
            </w:sdt>
            <w:r w:rsidR="00BB0C20">
              <w:rPr>
                <w:rFonts w:hint="cs"/>
                <w:b/>
                <w:bCs/>
                <w:rtl/>
              </w:rPr>
              <w:t xml:space="preserve">, </w:t>
            </w:r>
            <w:sdt>
              <w:sdtPr>
                <w:rPr>
                  <w:rFonts w:cs="Times New Roman"/>
                  <w:b/>
                  <w:bCs/>
                  <w:rtl/>
                </w:rPr>
                <w:alias w:val="2247"/>
                <w:tag w:val="2247"/>
                <w:id w:val="243227774"/>
              </w:sdtPr>
              <w:sdtEndPr/>
              <w:sdtContent>
                <w:r w:rsidR="00BB0C20">
                  <w:rPr>
                    <w:b/>
                    <w:bCs/>
                    <w:rtl/>
                  </w:rPr>
                  <w:t>שופטת</w:t>
                </w:r>
              </w:sdtContent>
            </w:sdt>
          </w:p>
        </w:tc>
      </w:tr>
    </w:tbl>
    <w:p w:rsidR="00BB0C20" w:rsidRDefault="00BB0C20" w:rsidP="00BB0C20">
      <w:pPr>
        <w:tabs>
          <w:tab w:val="left" w:pos="2553"/>
        </w:tabs>
        <w:rPr>
          <w:rFonts w:ascii="Arial" w:hAnsi="Arial"/>
          <w:noProof w:val="0"/>
          <w:rtl/>
        </w:rPr>
      </w:pPr>
    </w:p>
    <w:p w:rsidR="008928F7" w:rsidRDefault="008928F7"/>
    <w:sectPr w:rsidR="008928F7"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BFD" w:rsidRDefault="00C12BFD" w:rsidP="00BB0C20">
      <w:r>
        <w:separator/>
      </w:r>
    </w:p>
  </w:endnote>
  <w:endnote w:type="continuationSeparator" w:id="0">
    <w:p w:rsidR="00C12BFD" w:rsidRDefault="00C12BFD" w:rsidP="00BB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BFD" w:rsidRDefault="00C12BFD" w:rsidP="00BB0C20">
      <w:r>
        <w:separator/>
      </w:r>
    </w:p>
  </w:footnote>
  <w:footnote w:type="continuationSeparator" w:id="0">
    <w:p w:rsidR="00C12BFD" w:rsidRDefault="00C12BFD" w:rsidP="00BB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C20" w:rsidRDefault="00BB0C20" w:rsidP="00BB0C20">
    <w:pPr>
      <w:pStyle w:val="a5"/>
      <w:jc w:val="center"/>
      <w:rPr>
        <w:rFonts w:cs="FrankRuehl"/>
        <w:noProof w:val="0"/>
        <w:sz w:val="28"/>
        <w:szCs w:val="28"/>
        <w:rtl/>
      </w:rPr>
    </w:pPr>
    <w:r>
      <w:rPr>
        <w:rFonts w:cs="FrankRuehl"/>
        <w:sz w:val="28"/>
        <w:szCs w:val="28"/>
      </w:rPr>
      <w:drawing>
        <wp:inline distT="0" distB="0" distL="0" distR="0" wp14:anchorId="690CF512" wp14:editId="3122900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BB0C20" w:rsidTr="00FF04BC">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BB0C20" w:rsidRPr="00F038D8" w:rsidRDefault="00BB0C20" w:rsidP="00BB0C20">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BB0C20" w:rsidTr="00FF04BC">
      <w:trPr>
        <w:trHeight w:val="337"/>
        <w:jc w:val="center"/>
      </w:trPr>
      <w:tc>
        <w:tcPr>
          <w:tcW w:w="8307" w:type="dxa"/>
        </w:tcPr>
        <w:p w:rsidR="00BB0C20" w:rsidRPr="001340D8" w:rsidRDefault="00C12BFD" w:rsidP="00BB0C20">
          <w:pPr>
            <w:rPr>
              <w:b/>
              <w:bCs/>
              <w:noProof w:val="0"/>
              <w:sz w:val="26"/>
              <w:szCs w:val="26"/>
              <w:rtl/>
            </w:rPr>
          </w:pPr>
          <w:sdt>
            <w:sdtPr>
              <w:rPr>
                <w:rtl/>
              </w:rPr>
              <w:alias w:val="1170"/>
              <w:tag w:val="1170"/>
              <w:id w:val="1066377040"/>
              <w:text w:multiLine="1"/>
            </w:sdtPr>
            <w:sdtEndPr/>
            <w:sdtContent>
              <w:r w:rsidR="00BB0C20">
                <w:rPr>
                  <w:b/>
                  <w:bCs/>
                  <w:noProof w:val="0"/>
                  <w:sz w:val="26"/>
                  <w:szCs w:val="26"/>
                  <w:rtl/>
                </w:rPr>
                <w:t>עמ"ש</w:t>
              </w:r>
            </w:sdtContent>
          </w:sdt>
          <w:r w:rsidR="00BB0C20">
            <w:rPr>
              <w:b/>
              <w:bCs/>
              <w:noProof w:val="0"/>
              <w:sz w:val="26"/>
              <w:szCs w:val="26"/>
              <w:rtl/>
            </w:rPr>
            <w:t xml:space="preserve"> </w:t>
          </w:r>
          <w:sdt>
            <w:sdtPr>
              <w:rPr>
                <w:rtl/>
              </w:rPr>
              <w:alias w:val="1171"/>
              <w:tag w:val="1171"/>
              <w:id w:val="257034231"/>
              <w:text w:multiLine="1"/>
            </w:sdtPr>
            <w:sdtEndPr/>
            <w:sdtContent>
              <w:r w:rsidR="00BB0C20">
                <w:rPr>
                  <w:b/>
                  <w:bCs/>
                  <w:noProof w:val="0"/>
                  <w:sz w:val="26"/>
                  <w:szCs w:val="26"/>
                  <w:rtl/>
                </w:rPr>
                <w:t>58382-06-23</w:t>
              </w:r>
            </w:sdtContent>
          </w:sdt>
          <w:r w:rsidR="00BB0C20">
            <w:rPr>
              <w:b/>
              <w:bCs/>
              <w:noProof w:val="0"/>
              <w:sz w:val="26"/>
              <w:szCs w:val="26"/>
              <w:rtl/>
            </w:rPr>
            <w:t xml:space="preserve"> </w:t>
          </w:r>
          <w:sdt>
            <w:sdtPr>
              <w:rPr>
                <w:b/>
                <w:bCs/>
                <w:noProof w:val="0"/>
                <w:sz w:val="26"/>
                <w:szCs w:val="26"/>
                <w:rtl/>
              </w:rPr>
              <w:alias w:val="3154"/>
              <w:tag w:val="3154"/>
              <w:id w:val="-1285889662"/>
              <w:placeholder>
                <w:docPart w:val="DD622AB0CB3D491380437E95EB3D4D49"/>
              </w:placeholder>
              <w:text w:multiLine="1"/>
            </w:sdtPr>
            <w:sdtEndPr/>
            <w:sdtContent>
              <w:r w:rsidR="00BB0C20">
                <w:rPr>
                  <w:b/>
                  <w:bCs/>
                  <w:noProof w:val="0"/>
                  <w:sz w:val="26"/>
                  <w:szCs w:val="26"/>
                  <w:rtl/>
                </w:rPr>
                <w:t>א</w:t>
              </w:r>
              <w:r w:rsidR="00BB0C20">
                <w:rPr>
                  <w:rFonts w:hint="cs"/>
                  <w:b/>
                  <w:bCs/>
                  <w:noProof w:val="0"/>
                  <w:sz w:val="26"/>
                  <w:szCs w:val="26"/>
                  <w:rtl/>
                </w:rPr>
                <w:t xml:space="preserve">. </w:t>
              </w:r>
              <w:r w:rsidR="00BB0C20">
                <w:rPr>
                  <w:b/>
                  <w:bCs/>
                  <w:noProof w:val="0"/>
                  <w:sz w:val="26"/>
                  <w:szCs w:val="26"/>
                  <w:rtl/>
                </w:rPr>
                <w:t>ק</w:t>
              </w:r>
              <w:r w:rsidR="00BB0C20">
                <w:rPr>
                  <w:rFonts w:hint="cs"/>
                  <w:b/>
                  <w:bCs/>
                  <w:noProof w:val="0"/>
                  <w:sz w:val="26"/>
                  <w:szCs w:val="26"/>
                  <w:rtl/>
                </w:rPr>
                <w:t xml:space="preserve">. </w:t>
              </w:r>
              <w:r w:rsidR="00BB0C20">
                <w:rPr>
                  <w:b/>
                  <w:bCs/>
                  <w:noProof w:val="0"/>
                  <w:sz w:val="26"/>
                  <w:szCs w:val="26"/>
                  <w:rtl/>
                </w:rPr>
                <w:t xml:space="preserve"> נ' א</w:t>
              </w:r>
              <w:r w:rsidR="00BB0C20">
                <w:rPr>
                  <w:rFonts w:hint="cs"/>
                  <w:b/>
                  <w:bCs/>
                  <w:noProof w:val="0"/>
                  <w:sz w:val="26"/>
                  <w:szCs w:val="26"/>
                  <w:rtl/>
                </w:rPr>
                <w:t xml:space="preserve">. </w:t>
              </w:r>
              <w:r w:rsidR="00BB0C20">
                <w:rPr>
                  <w:b/>
                  <w:bCs/>
                  <w:noProof w:val="0"/>
                  <w:sz w:val="26"/>
                  <w:szCs w:val="26"/>
                  <w:rtl/>
                </w:rPr>
                <w:t>ס</w:t>
              </w:r>
              <w:r w:rsidR="00BB0C20">
                <w:rPr>
                  <w:rFonts w:hint="cs"/>
                  <w:b/>
                  <w:bCs/>
                  <w:noProof w:val="0"/>
                  <w:sz w:val="26"/>
                  <w:szCs w:val="26"/>
                  <w:rtl/>
                </w:rPr>
                <w:t xml:space="preserve">. </w:t>
              </w:r>
              <w:r w:rsidR="00BB0C20">
                <w:rPr>
                  <w:b/>
                  <w:bCs/>
                  <w:noProof w:val="0"/>
                  <w:sz w:val="26"/>
                  <w:szCs w:val="26"/>
                  <w:rtl/>
                </w:rPr>
                <w:t>ואח'</w:t>
              </w:r>
            </w:sdtContent>
          </w:sdt>
          <w:r w:rsidR="00BB0C20">
            <w:rPr>
              <w:b/>
              <w:bCs/>
              <w:noProof w:val="0"/>
              <w:sz w:val="26"/>
              <w:szCs w:val="26"/>
              <w:rtl/>
            </w:rPr>
            <w:t xml:space="preserve"> </w:t>
          </w:r>
          <w:r w:rsidR="00BB0C20">
            <w:rPr>
              <w:sz w:val="20"/>
              <w:szCs w:val="20"/>
              <w:rtl/>
            </w:rPr>
            <w:t xml:space="preserve"> </w:t>
          </w:r>
        </w:p>
      </w:tc>
    </w:tr>
  </w:tbl>
  <w:p w:rsidR="00BB0C20" w:rsidRDefault="00BB0C20" w:rsidP="00BB0C20">
    <w:pPr>
      <w:pStyle w:val="a5"/>
      <w:rPr>
        <w:noProof w:val="0"/>
        <w:rtl/>
      </w:rPr>
    </w:pPr>
    <w:r>
      <w:rPr>
        <w:noProof w:val="0"/>
        <w:rtl/>
      </w:rPr>
      <w:t xml:space="preserve"> </w:t>
    </w:r>
  </w:p>
  <w:p w:rsidR="00BB0C20" w:rsidRDefault="00BB0C2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21C79"/>
    <w:multiLevelType w:val="hybridMultilevel"/>
    <w:tmpl w:val="98A68138"/>
    <w:lvl w:ilvl="0" w:tplc="FFEEFDA8">
      <w:start w:val="1"/>
      <w:numFmt w:val="hebrew1"/>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5C0A2727"/>
    <w:multiLevelType w:val="hybridMultilevel"/>
    <w:tmpl w:val="C2AE48C2"/>
    <w:lvl w:ilvl="0" w:tplc="C888C84E">
      <w:start w:val="1"/>
      <w:numFmt w:val="decimal"/>
      <w:lvlText w:val="%1."/>
      <w:lvlJc w:val="left"/>
      <w:pPr>
        <w:ind w:left="36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C20"/>
    <w:rsid w:val="0023393B"/>
    <w:rsid w:val="00394AB7"/>
    <w:rsid w:val="004768C0"/>
    <w:rsid w:val="008928F7"/>
    <w:rsid w:val="008C0C04"/>
    <w:rsid w:val="00BB0C20"/>
    <w:rsid w:val="00C12B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7D484D-01E6-4720-B56B-80A691CB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C2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B0C2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B0C20"/>
    <w:pPr>
      <w:ind w:left="720"/>
      <w:contextualSpacing/>
    </w:pPr>
  </w:style>
  <w:style w:type="paragraph" w:styleId="a5">
    <w:name w:val="header"/>
    <w:basedOn w:val="a"/>
    <w:link w:val="a6"/>
    <w:unhideWhenUsed/>
    <w:rsid w:val="00BB0C20"/>
    <w:pPr>
      <w:tabs>
        <w:tab w:val="center" w:pos="4153"/>
        <w:tab w:val="right" w:pos="8306"/>
      </w:tabs>
    </w:pPr>
  </w:style>
  <w:style w:type="character" w:customStyle="1" w:styleId="a6">
    <w:name w:val="כותרת עליונה תו"/>
    <w:basedOn w:val="a0"/>
    <w:link w:val="a5"/>
    <w:uiPriority w:val="99"/>
    <w:rsid w:val="00BB0C20"/>
    <w:rPr>
      <w:rFonts w:ascii="Times New Roman" w:eastAsia="Times New Roman" w:hAnsi="Times New Roman" w:cs="David"/>
      <w:noProof/>
      <w:sz w:val="24"/>
      <w:szCs w:val="24"/>
    </w:rPr>
  </w:style>
  <w:style w:type="paragraph" w:styleId="a7">
    <w:name w:val="footer"/>
    <w:basedOn w:val="a"/>
    <w:link w:val="a8"/>
    <w:uiPriority w:val="99"/>
    <w:unhideWhenUsed/>
    <w:rsid w:val="00BB0C20"/>
    <w:pPr>
      <w:tabs>
        <w:tab w:val="center" w:pos="4153"/>
        <w:tab w:val="right" w:pos="8306"/>
      </w:tabs>
    </w:pPr>
  </w:style>
  <w:style w:type="character" w:customStyle="1" w:styleId="a8">
    <w:name w:val="כותרת תחתונה תו"/>
    <w:basedOn w:val="a0"/>
    <w:link w:val="a7"/>
    <w:uiPriority w:val="99"/>
    <w:rsid w:val="00BB0C20"/>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6F01C926ABD474EA385A7A6DCF1DFE2"/>
        <w:category>
          <w:name w:val="כללי"/>
          <w:gallery w:val="placeholder"/>
        </w:category>
        <w:types>
          <w:type w:val="bbPlcHdr"/>
        </w:types>
        <w:behaviors>
          <w:behavior w:val="content"/>
        </w:behaviors>
        <w:guid w:val="{5A5D340C-CE6C-46C8-BB3A-F466767A39F3}"/>
      </w:docPartPr>
      <w:docPartBody>
        <w:p w:rsidR="00FA0C9A" w:rsidRDefault="002E12C2" w:rsidP="002E12C2">
          <w:pPr>
            <w:pStyle w:val="96F01C926ABD474EA385A7A6DCF1DFE2"/>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88377234566A47EABB52EDC16450DEC0"/>
        <w:category>
          <w:name w:val="כללי"/>
          <w:gallery w:val="placeholder"/>
        </w:category>
        <w:types>
          <w:type w:val="bbPlcHdr"/>
        </w:types>
        <w:behaviors>
          <w:behavior w:val="content"/>
        </w:behaviors>
        <w:guid w:val="{0012B09C-18B4-4F92-9945-97DE0C82FDEA}"/>
      </w:docPartPr>
      <w:docPartBody>
        <w:p w:rsidR="00FA0C9A" w:rsidRDefault="002E12C2" w:rsidP="002E12C2">
          <w:pPr>
            <w:pStyle w:val="88377234566A47EABB52EDC16450DEC0"/>
          </w:pPr>
          <w:r>
            <w:rPr>
              <w:rFonts w:hint="cs"/>
              <w:rtl/>
            </w:rPr>
            <w:t xml:space="preserve">     </w:t>
          </w:r>
        </w:p>
      </w:docPartBody>
    </w:docPart>
    <w:docPart>
      <w:docPartPr>
        <w:name w:val="DD622AB0CB3D491380437E95EB3D4D49"/>
        <w:category>
          <w:name w:val="כללי"/>
          <w:gallery w:val="placeholder"/>
        </w:category>
        <w:types>
          <w:type w:val="bbPlcHdr"/>
        </w:types>
        <w:behaviors>
          <w:behavior w:val="content"/>
        </w:behaviors>
        <w:guid w:val="{4B752040-487D-47AC-B0C8-55DC8CC05A6A}"/>
      </w:docPartPr>
      <w:docPartBody>
        <w:p w:rsidR="00FA0C9A" w:rsidRDefault="002E12C2" w:rsidP="002E12C2">
          <w:pPr>
            <w:pStyle w:val="DD622AB0CB3D491380437E95EB3D4D49"/>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2C2"/>
    <w:rsid w:val="002E12C2"/>
    <w:rsid w:val="00A10627"/>
    <w:rsid w:val="00DB251C"/>
    <w:rsid w:val="00FA0C9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6F01C926ABD474EA385A7A6DCF1DFE2">
    <w:name w:val="96F01C926ABD474EA385A7A6DCF1DFE2"/>
    <w:rsid w:val="002E12C2"/>
    <w:pPr>
      <w:bidi/>
    </w:pPr>
  </w:style>
  <w:style w:type="paragraph" w:customStyle="1" w:styleId="88377234566A47EABB52EDC16450DEC0">
    <w:name w:val="88377234566A47EABB52EDC16450DEC0"/>
    <w:rsid w:val="002E12C2"/>
    <w:pPr>
      <w:bidi/>
    </w:pPr>
  </w:style>
  <w:style w:type="paragraph" w:customStyle="1" w:styleId="DD622AB0CB3D491380437E95EB3D4D49">
    <w:name w:val="DD622AB0CB3D491380437E95EB3D4D49"/>
    <w:rsid w:val="002E12C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2091</Words>
  <Characters>10456</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2024-07-11T11:53:00Z</dcterms:created>
  <dcterms:modified xsi:type="dcterms:W3CDTF">2024-07-11T11:53:00Z</dcterms:modified>
</cp:coreProperties>
</file>